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B0" w:rsidRPr="00197AB2" w:rsidRDefault="003853F3" w:rsidP="00CA794D">
      <w:pPr>
        <w:spacing w:after="0"/>
        <w:jc w:val="center"/>
        <w:rPr>
          <w:rFonts w:cs="Arial"/>
          <w:b/>
          <w:sz w:val="24"/>
          <w:szCs w:val="24"/>
        </w:rPr>
      </w:pPr>
      <w:r>
        <w:rPr>
          <w:rFonts w:cs="Arial"/>
          <w:b/>
          <w:sz w:val="24"/>
          <w:szCs w:val="24"/>
        </w:rPr>
        <w:t>2022-2023 LFS Major (Greater Than $10,000) Awards</w:t>
      </w:r>
    </w:p>
    <w:p w:rsidR="00CA794D" w:rsidRDefault="007C0DB0" w:rsidP="00CA794D">
      <w:pPr>
        <w:jc w:val="center"/>
        <w:rPr>
          <w:rFonts w:cs="Arial"/>
          <w:b/>
        </w:rPr>
      </w:pPr>
      <w:r w:rsidRPr="00197AB2">
        <w:rPr>
          <w:rFonts w:cs="Arial"/>
          <w:b/>
          <w:sz w:val="24"/>
          <w:szCs w:val="24"/>
        </w:rPr>
        <w:t>Application Instructions</w:t>
      </w:r>
      <w:r w:rsidR="00CA794D">
        <w:rPr>
          <w:rFonts w:cs="Arial"/>
          <w:b/>
          <w:sz w:val="24"/>
          <w:szCs w:val="24"/>
        </w:rPr>
        <w:t xml:space="preserve"> - </w:t>
      </w:r>
      <w:r w:rsidR="00CA794D">
        <w:rPr>
          <w:rFonts w:cs="Arial"/>
          <w:b/>
          <w:color w:val="FF0000"/>
          <w:sz w:val="24"/>
          <w:szCs w:val="24"/>
        </w:rPr>
        <w:t xml:space="preserve">REVISED </w:t>
      </w:r>
      <w:r w:rsidR="00CA794D">
        <w:rPr>
          <w:rFonts w:cs="Arial"/>
          <w:b/>
          <w:color w:val="FF0000"/>
        </w:rPr>
        <w:t>(addition of Western Grains Research Foundation Scholarship)</w:t>
      </w:r>
    </w:p>
    <w:p w:rsidR="007C0DB0" w:rsidRPr="00197AB2" w:rsidRDefault="007C0DB0" w:rsidP="007C0DB0">
      <w:pPr>
        <w:spacing w:after="0"/>
        <w:jc w:val="center"/>
        <w:rPr>
          <w:rFonts w:cs="Arial"/>
          <w:b/>
          <w:sz w:val="24"/>
          <w:szCs w:val="24"/>
        </w:rPr>
      </w:pPr>
    </w:p>
    <w:p w:rsidR="0090696B" w:rsidRPr="00197AB2" w:rsidRDefault="0090696B" w:rsidP="00CA794D">
      <w:pPr>
        <w:spacing w:after="0"/>
        <w:jc w:val="center"/>
        <w:rPr>
          <w:rFonts w:cs="Arial"/>
          <w:b/>
          <w:sz w:val="24"/>
          <w:szCs w:val="24"/>
        </w:rPr>
      </w:pPr>
      <w:r w:rsidRPr="009D4D0A">
        <w:rPr>
          <w:rFonts w:cs="Arial"/>
          <w:b/>
          <w:sz w:val="24"/>
          <w:szCs w:val="24"/>
          <w:highlight w:val="green"/>
        </w:rPr>
        <w:t xml:space="preserve">Application Deadline:  </w:t>
      </w:r>
      <w:r w:rsidR="00CD7200">
        <w:rPr>
          <w:rFonts w:cs="Arial"/>
          <w:b/>
          <w:sz w:val="24"/>
          <w:szCs w:val="24"/>
          <w:highlight w:val="green"/>
        </w:rPr>
        <w:t xml:space="preserve">4:00 PM PDT </w:t>
      </w:r>
      <w:r w:rsidR="009D4D0A" w:rsidRPr="009D4D0A">
        <w:rPr>
          <w:rFonts w:cs="Arial"/>
          <w:b/>
          <w:sz w:val="24"/>
          <w:szCs w:val="24"/>
          <w:highlight w:val="green"/>
        </w:rPr>
        <w:t>Friday, May 27, 2022</w:t>
      </w:r>
    </w:p>
    <w:p w:rsidR="007C0DB0" w:rsidRPr="007C0DB0" w:rsidRDefault="007C0DB0" w:rsidP="007C0DB0">
      <w:pPr>
        <w:spacing w:after="0"/>
        <w:jc w:val="center"/>
        <w:rPr>
          <w:rFonts w:cs="Arial"/>
          <w:b/>
        </w:rPr>
      </w:pPr>
    </w:p>
    <w:p w:rsidR="00197AB2" w:rsidRPr="00197AB2" w:rsidRDefault="00197AB2" w:rsidP="00197AB2">
      <w:pPr>
        <w:spacing w:after="0"/>
        <w:rPr>
          <w:rFonts w:cs="Arial"/>
        </w:rPr>
      </w:pPr>
    </w:p>
    <w:p w:rsidR="007C0DB0" w:rsidRPr="00197AB2" w:rsidRDefault="007C0DB0" w:rsidP="007C0DB0">
      <w:pPr>
        <w:pStyle w:val="ListParagraph"/>
        <w:numPr>
          <w:ilvl w:val="0"/>
          <w:numId w:val="2"/>
        </w:numPr>
        <w:spacing w:after="0"/>
        <w:rPr>
          <w:rFonts w:ascii="Arial" w:hAnsi="Arial" w:cs="Arial"/>
        </w:rPr>
      </w:pPr>
      <w:r w:rsidRPr="00197AB2">
        <w:rPr>
          <w:rFonts w:ascii="Arial" w:hAnsi="Arial" w:cs="Arial"/>
        </w:rPr>
        <w:t>Academic merit-based fellowships</w:t>
      </w:r>
    </w:p>
    <w:p w:rsidR="007C0DB0" w:rsidRPr="00CA794D" w:rsidRDefault="007C0DB0" w:rsidP="007C0DB0">
      <w:pPr>
        <w:pStyle w:val="ListParagraph"/>
        <w:numPr>
          <w:ilvl w:val="0"/>
          <w:numId w:val="2"/>
        </w:numPr>
        <w:spacing w:after="0"/>
        <w:rPr>
          <w:rFonts w:ascii="Arial" w:hAnsi="Arial" w:cs="Arial"/>
        </w:rPr>
      </w:pPr>
      <w:r w:rsidRPr="00197AB2">
        <w:rPr>
          <w:rFonts w:ascii="Arial" w:hAnsi="Arial" w:cs="Arial"/>
        </w:rPr>
        <w:t xml:space="preserve">Available only for </w:t>
      </w:r>
      <w:r w:rsidRPr="00197AB2">
        <w:rPr>
          <w:rFonts w:ascii="Arial" w:hAnsi="Arial" w:cs="Arial"/>
          <w:b/>
        </w:rPr>
        <w:t>full-time students registered in research-based (thesis) programs</w:t>
      </w:r>
    </w:p>
    <w:p w:rsidR="00197AB2" w:rsidRPr="00197AB2" w:rsidRDefault="00197AB2" w:rsidP="007C0DB0">
      <w:pPr>
        <w:spacing w:after="0"/>
        <w:rPr>
          <w:rFonts w:cs="Arial"/>
          <w:b/>
          <w:sz w:val="22"/>
          <w:szCs w:val="22"/>
        </w:rPr>
      </w:pPr>
    </w:p>
    <w:p w:rsidR="007C0DB0" w:rsidRPr="00FD21BD" w:rsidRDefault="007C0DB0" w:rsidP="007C0DB0">
      <w:pPr>
        <w:spacing w:after="0"/>
        <w:rPr>
          <w:rFonts w:cs="Arial"/>
          <w:b/>
          <w:sz w:val="22"/>
          <w:szCs w:val="22"/>
        </w:rPr>
      </w:pPr>
      <w:r w:rsidRPr="00FD21BD">
        <w:rPr>
          <w:rFonts w:cs="Arial"/>
          <w:b/>
          <w:sz w:val="22"/>
          <w:szCs w:val="22"/>
        </w:rPr>
        <w:t>Eligibility:</w:t>
      </w:r>
    </w:p>
    <w:p w:rsidR="007C0DB0" w:rsidRPr="00FD21BD"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Fonts w:eastAsia="Times New Roman" w:cs="Arial"/>
          <w:sz w:val="22"/>
          <w:szCs w:val="22"/>
          <w:lang w:val="en-CA"/>
        </w:rPr>
        <w:t>No citizenship restrictions unless otherwise noted</w:t>
      </w:r>
      <w:r w:rsidRPr="00FD21BD">
        <w:rPr>
          <w:rFonts w:eastAsia="Times New Roman" w:cs="Arial"/>
          <w:i/>
          <w:sz w:val="22"/>
          <w:szCs w:val="22"/>
          <w:lang w:val="en-CA"/>
        </w:rPr>
        <w:t>.</w:t>
      </w:r>
    </w:p>
    <w:p w:rsidR="007C0DB0" w:rsidRPr="00FD21BD"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Fonts w:eastAsia="Times New Roman" w:cs="Arial"/>
          <w:sz w:val="22"/>
          <w:szCs w:val="22"/>
          <w:lang w:val="en-CA"/>
        </w:rPr>
        <w:t xml:space="preserve">Students need one (1) reference letter from </w:t>
      </w:r>
      <w:r w:rsidR="00427379" w:rsidRPr="00FD21BD">
        <w:rPr>
          <w:rFonts w:eastAsia="Times New Roman" w:cs="Arial"/>
          <w:sz w:val="22"/>
          <w:szCs w:val="22"/>
          <w:lang w:val="en-CA"/>
        </w:rPr>
        <w:t xml:space="preserve">an </w:t>
      </w:r>
      <w:r w:rsidRPr="00FD21BD">
        <w:rPr>
          <w:rFonts w:eastAsia="Times New Roman" w:cs="Arial"/>
          <w:sz w:val="22"/>
          <w:szCs w:val="22"/>
          <w:lang w:val="en-CA"/>
        </w:rPr>
        <w:t>academic referee to support their application.</w:t>
      </w:r>
    </w:p>
    <w:p w:rsidR="007C0DB0" w:rsidRPr="00FD21BD"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Fonts w:eastAsia="Times New Roman" w:cs="Arial"/>
          <w:sz w:val="22"/>
          <w:szCs w:val="22"/>
          <w:lang w:val="en-CA"/>
        </w:rPr>
        <w:t>Other factors considered during the selection process include those scoring criteria listed in Appendix II.</w:t>
      </w:r>
    </w:p>
    <w:p w:rsidR="00FD21BD" w:rsidRPr="00FD21BD" w:rsidRDefault="00FD21BD"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FD21BD">
        <w:rPr>
          <w:rStyle w:val="normaltextrun"/>
          <w:rFonts w:cs="Arial"/>
          <w:bCs/>
          <w:iCs/>
          <w:sz w:val="22"/>
          <w:szCs w:val="22"/>
          <w:lang w:val="x-none"/>
        </w:rPr>
        <w:t>While award recipients will be selected based on the evaluation criteria, priority may be given to eligible candidates who do not hold significant scholarship funding.</w:t>
      </w:r>
      <w:r w:rsidRPr="00FD21BD">
        <w:rPr>
          <w:rStyle w:val="eop"/>
          <w:rFonts w:cs="Arial"/>
          <w:sz w:val="22"/>
          <w:szCs w:val="22"/>
          <w:shd w:val="clear" w:color="auto" w:fill="FFFFFF"/>
        </w:rPr>
        <w:t> </w:t>
      </w:r>
    </w:p>
    <w:p w:rsidR="007C0DB0" w:rsidRPr="00197AB2" w:rsidRDefault="007C0DB0" w:rsidP="007C0DB0">
      <w:pPr>
        <w:overflowPunct w:val="0"/>
        <w:autoSpaceDE w:val="0"/>
        <w:autoSpaceDN w:val="0"/>
        <w:adjustRightInd w:val="0"/>
        <w:spacing w:after="0"/>
        <w:ind w:left="720" w:right="144"/>
        <w:textAlignment w:val="baseline"/>
        <w:rPr>
          <w:rFonts w:eastAsia="Times New Roman" w:cs="Arial"/>
          <w:sz w:val="22"/>
          <w:szCs w:val="22"/>
          <w:lang w:val="en-CA"/>
        </w:rPr>
      </w:pPr>
    </w:p>
    <w:p w:rsidR="00197AB2" w:rsidRPr="00197AB2" w:rsidRDefault="00197AB2" w:rsidP="007C0DB0">
      <w:pPr>
        <w:overflowPunct w:val="0"/>
        <w:autoSpaceDE w:val="0"/>
        <w:autoSpaceDN w:val="0"/>
        <w:adjustRightInd w:val="0"/>
        <w:spacing w:after="0"/>
        <w:ind w:right="144"/>
        <w:textAlignment w:val="baseline"/>
        <w:rPr>
          <w:rFonts w:eastAsia="Times New Roman" w:cs="Arial"/>
          <w:b/>
          <w:sz w:val="22"/>
          <w:szCs w:val="22"/>
          <w:lang w:val="en-CA"/>
        </w:rPr>
      </w:pPr>
    </w:p>
    <w:p w:rsidR="007C0DB0" w:rsidRPr="00197AB2" w:rsidRDefault="007C0DB0" w:rsidP="007C0DB0">
      <w:pPr>
        <w:overflowPunct w:val="0"/>
        <w:autoSpaceDE w:val="0"/>
        <w:autoSpaceDN w:val="0"/>
        <w:adjustRightInd w:val="0"/>
        <w:spacing w:after="0"/>
        <w:ind w:right="144"/>
        <w:textAlignment w:val="baseline"/>
        <w:rPr>
          <w:rFonts w:eastAsia="Times New Roman" w:cs="Arial"/>
          <w:b/>
          <w:sz w:val="22"/>
          <w:szCs w:val="22"/>
          <w:lang w:val="en-CA"/>
        </w:rPr>
      </w:pPr>
      <w:r w:rsidRPr="00197AB2">
        <w:rPr>
          <w:rFonts w:eastAsia="Times New Roman" w:cs="Arial"/>
          <w:b/>
          <w:sz w:val="22"/>
          <w:szCs w:val="22"/>
          <w:lang w:val="en-CA"/>
        </w:rPr>
        <w:t>Eligible Years of Funding</w:t>
      </w:r>
    </w:p>
    <w:p w:rsidR="007C0DB0" w:rsidRPr="00197AB2" w:rsidRDefault="007C0DB0" w:rsidP="007C0DB0">
      <w:pPr>
        <w:overflowPunct w:val="0"/>
        <w:autoSpaceDE w:val="0"/>
        <w:autoSpaceDN w:val="0"/>
        <w:adjustRightInd w:val="0"/>
        <w:spacing w:after="0"/>
        <w:ind w:right="144"/>
        <w:textAlignment w:val="baseline"/>
        <w:rPr>
          <w:rFonts w:eastAsia="Times New Roman" w:cs="Arial"/>
          <w:b/>
          <w:sz w:val="22"/>
          <w:szCs w:val="22"/>
          <w:lang w:val="en-CA"/>
        </w:rPr>
      </w:pPr>
    </w:p>
    <w:p w:rsidR="007C0DB0" w:rsidRPr="00197AB2" w:rsidRDefault="007C0DB0" w:rsidP="007C0DB0">
      <w:pPr>
        <w:spacing w:after="0"/>
        <w:rPr>
          <w:rFonts w:eastAsia="Times New Roman" w:cs="Arial"/>
          <w:sz w:val="22"/>
          <w:szCs w:val="22"/>
          <w:lang w:val="en-CA" w:eastAsia="en-CA"/>
        </w:rPr>
      </w:pPr>
      <w:r w:rsidRPr="00197AB2">
        <w:rPr>
          <w:rFonts w:eastAsia="Times New Roman" w:cs="Arial"/>
          <w:b/>
          <w:sz w:val="22"/>
          <w:szCs w:val="22"/>
          <w:u w:val="single"/>
          <w:lang w:val="en-CA" w:eastAsia="en-CA"/>
        </w:rPr>
        <w:t>Master's level funding</w:t>
      </w:r>
      <w:r w:rsidRPr="00197AB2">
        <w:rPr>
          <w:rFonts w:eastAsia="Times New Roman" w:cs="Arial"/>
          <w:b/>
          <w:sz w:val="22"/>
          <w:szCs w:val="22"/>
          <w:u w:val="single"/>
          <w:lang w:val="en-CA" w:eastAsia="en-CA"/>
        </w:rPr>
        <w:br/>
      </w:r>
      <w:r w:rsidRPr="00197AB2">
        <w:rPr>
          <w:rFonts w:eastAsia="Times New Roman" w:cs="Arial"/>
          <w:sz w:val="22"/>
          <w:szCs w:val="22"/>
          <w:lang w:val="en-CA" w:eastAsia="en-CA"/>
        </w:rPr>
        <w:t xml:space="preserve">Master’s students are eligible to receive funding during the first 24 months of full-time enrolment at the graduate level. </w:t>
      </w:r>
    </w:p>
    <w:p w:rsidR="007C0DB0" w:rsidRPr="00197AB2" w:rsidRDefault="007C0DB0" w:rsidP="007C0DB0">
      <w:pPr>
        <w:spacing w:after="0"/>
        <w:rPr>
          <w:rFonts w:eastAsia="Times New Roman" w:cs="Arial"/>
          <w:b/>
          <w:sz w:val="22"/>
          <w:szCs w:val="22"/>
          <w:u w:val="single"/>
          <w:lang w:val="en-CA" w:eastAsia="en-CA"/>
        </w:rPr>
      </w:pPr>
    </w:p>
    <w:p w:rsidR="007C0DB0" w:rsidRPr="00197AB2" w:rsidRDefault="007C0DB0" w:rsidP="007C0DB0">
      <w:pPr>
        <w:spacing w:after="0"/>
        <w:rPr>
          <w:rFonts w:eastAsia="Times New Roman" w:cs="Arial"/>
          <w:b/>
          <w:sz w:val="22"/>
          <w:szCs w:val="22"/>
          <w:u w:val="single"/>
          <w:lang w:val="en-CA" w:eastAsia="en-CA"/>
        </w:rPr>
      </w:pPr>
      <w:r w:rsidRPr="00197AB2">
        <w:rPr>
          <w:rFonts w:eastAsia="Times New Roman" w:cs="Arial"/>
          <w:b/>
          <w:sz w:val="22"/>
          <w:szCs w:val="22"/>
          <w:u w:val="single"/>
          <w:lang w:val="en-CA" w:eastAsia="en-CA"/>
        </w:rPr>
        <w:t>Doctoral level funding</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PhD students are eligible to receive funding during the first 48 months of full-time enrolment.</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 xml:space="preserve">Students who proceed directly for a Bachelor's or equivalent program to a doctoral program are eligible to receive funding during the first 48 months of their PhD program. </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Students transferring from a UBC Master's to a PhD program without completing the Masters:  consistent with UBC academic policies, the start of the PhD programs for these transfer students will be the date of first registration in the Master's program.  Hence, a student who transfers to a PhD after one year of Master's study will be eligible for the next three years.</w:t>
      </w:r>
    </w:p>
    <w:p w:rsidR="007C0DB0" w:rsidRPr="00197AB2" w:rsidRDefault="007C0DB0" w:rsidP="007C0DB0">
      <w:pPr>
        <w:spacing w:after="0"/>
        <w:rPr>
          <w:rFonts w:cs="Arial"/>
          <w:sz w:val="22"/>
          <w:szCs w:val="22"/>
        </w:rPr>
      </w:pPr>
    </w:p>
    <w:p w:rsidR="00197AB2" w:rsidRPr="00197AB2" w:rsidRDefault="00197AB2" w:rsidP="007C0DB0">
      <w:pPr>
        <w:spacing w:after="0"/>
        <w:rPr>
          <w:rFonts w:cs="Arial"/>
          <w:b/>
          <w:sz w:val="22"/>
          <w:szCs w:val="22"/>
          <w:u w:val="single"/>
        </w:rPr>
      </w:pPr>
    </w:p>
    <w:p w:rsidR="007C0DB0" w:rsidRPr="00197AB2" w:rsidRDefault="007C0DB0" w:rsidP="007C0DB0">
      <w:pPr>
        <w:spacing w:after="0"/>
        <w:rPr>
          <w:rFonts w:cs="Arial"/>
          <w:b/>
          <w:sz w:val="22"/>
          <w:szCs w:val="22"/>
          <w:u w:val="single"/>
        </w:rPr>
      </w:pPr>
      <w:r w:rsidRPr="00197AB2">
        <w:rPr>
          <w:rFonts w:cs="Arial"/>
          <w:b/>
          <w:sz w:val="22"/>
          <w:szCs w:val="22"/>
          <w:u w:val="single"/>
        </w:rPr>
        <w:t>Application Process</w:t>
      </w:r>
    </w:p>
    <w:p w:rsidR="007C0DB0" w:rsidRPr="00197AB2" w:rsidRDefault="007C0DB0" w:rsidP="007C0DB0">
      <w:pPr>
        <w:spacing w:after="0"/>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Student Responsibility</w:t>
      </w:r>
    </w:p>
    <w:p w:rsidR="007C0DB0" w:rsidRPr="00197AB2" w:rsidRDefault="007C0DB0" w:rsidP="007C0DB0">
      <w:pPr>
        <w:spacing w:after="0"/>
        <w:rPr>
          <w:rFonts w:cs="Arial"/>
          <w:b/>
          <w:sz w:val="22"/>
          <w:szCs w:val="22"/>
        </w:rPr>
      </w:pPr>
    </w:p>
    <w:p w:rsidR="006571BA" w:rsidRPr="00197AB2" w:rsidRDefault="006571BA" w:rsidP="007C0DB0">
      <w:pPr>
        <w:numPr>
          <w:ilvl w:val="0"/>
          <w:numId w:val="3"/>
        </w:numPr>
        <w:spacing w:after="0"/>
        <w:ind w:right="144"/>
        <w:rPr>
          <w:rFonts w:cs="Arial"/>
          <w:sz w:val="22"/>
          <w:szCs w:val="22"/>
        </w:rPr>
      </w:pPr>
      <w:r w:rsidRPr="00197AB2">
        <w:rPr>
          <w:rFonts w:cs="Arial"/>
          <w:b/>
          <w:sz w:val="22"/>
          <w:szCs w:val="22"/>
          <w:highlight w:val="yellow"/>
        </w:rPr>
        <w:t xml:space="preserve">Inform the G&amp;PS office via email addressed to </w:t>
      </w:r>
      <w:r w:rsidRPr="00197AB2">
        <w:rPr>
          <w:rFonts w:cs="Arial"/>
          <w:b/>
          <w:color w:val="FF0000"/>
          <w:sz w:val="22"/>
          <w:szCs w:val="22"/>
          <w:highlight w:val="yellow"/>
        </w:rPr>
        <w:t>lfs.gradasst@ubc.ca</w:t>
      </w:r>
      <w:r w:rsidRPr="00197AB2">
        <w:rPr>
          <w:rFonts w:cs="Arial"/>
          <w:b/>
          <w:sz w:val="22"/>
          <w:szCs w:val="22"/>
          <w:highlight w:val="yellow"/>
        </w:rPr>
        <w:t xml:space="preserve"> by </w:t>
      </w:r>
      <w:r w:rsidR="00CD7200">
        <w:rPr>
          <w:rFonts w:cs="Arial"/>
          <w:b/>
          <w:sz w:val="22"/>
          <w:szCs w:val="22"/>
        </w:rPr>
        <w:t>Monday, May 16</w:t>
      </w:r>
      <w:r w:rsidRPr="00197AB2">
        <w:rPr>
          <w:rFonts w:cs="Arial"/>
          <w:sz w:val="22"/>
          <w:szCs w:val="22"/>
        </w:rPr>
        <w:t xml:space="preserve"> of your intention to submit a 202</w:t>
      </w:r>
      <w:r w:rsidR="00CD7200">
        <w:rPr>
          <w:rFonts w:cs="Arial"/>
          <w:sz w:val="22"/>
          <w:szCs w:val="22"/>
        </w:rPr>
        <w:t>2</w:t>
      </w:r>
      <w:r w:rsidRPr="00197AB2">
        <w:rPr>
          <w:rFonts w:cs="Arial"/>
          <w:sz w:val="22"/>
          <w:szCs w:val="22"/>
        </w:rPr>
        <w:t>-202</w:t>
      </w:r>
      <w:r w:rsidR="00CD7200">
        <w:rPr>
          <w:rFonts w:cs="Arial"/>
          <w:sz w:val="22"/>
          <w:szCs w:val="22"/>
        </w:rPr>
        <w:t>3</w:t>
      </w:r>
      <w:r w:rsidRPr="00197AB2">
        <w:rPr>
          <w:rFonts w:cs="Arial"/>
          <w:sz w:val="22"/>
          <w:szCs w:val="22"/>
        </w:rPr>
        <w:t xml:space="preserve"> LFS Major Awards Application.  This allows the office to prepare transcripts and contact students prior to application deadline in cases where documents may be missing, etc.  </w:t>
      </w:r>
    </w:p>
    <w:p w:rsidR="006571BA" w:rsidRPr="00197AB2" w:rsidRDefault="006571BA" w:rsidP="006571BA">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 xml:space="preserve">Prepare </w:t>
      </w:r>
      <w:r w:rsidR="006571BA" w:rsidRPr="00197AB2">
        <w:rPr>
          <w:rFonts w:cs="Arial"/>
          <w:b/>
          <w:sz w:val="22"/>
          <w:szCs w:val="22"/>
        </w:rPr>
        <w:t>application</w:t>
      </w:r>
      <w:r w:rsidRPr="00197AB2">
        <w:rPr>
          <w:rFonts w:cs="Arial"/>
          <w:b/>
          <w:sz w:val="22"/>
          <w:szCs w:val="22"/>
        </w:rPr>
        <w:t>:</w:t>
      </w:r>
      <w:r w:rsidRPr="00197AB2">
        <w:rPr>
          <w:rFonts w:cs="Arial"/>
          <w:sz w:val="22"/>
          <w:szCs w:val="22"/>
        </w:rPr>
        <w:t xml:space="preserve">  No handwritten applications will be accepted. </w:t>
      </w:r>
      <w:r w:rsidR="00CD7200">
        <w:rPr>
          <w:rFonts w:cs="Arial"/>
          <w:b/>
          <w:sz w:val="22"/>
          <w:szCs w:val="22"/>
        </w:rPr>
        <w:t xml:space="preserve"> </w:t>
      </w:r>
      <w:r w:rsidRPr="00197AB2">
        <w:rPr>
          <w:rFonts w:cs="Arial"/>
          <w:sz w:val="22"/>
          <w:szCs w:val="22"/>
        </w:rPr>
        <w:t xml:space="preserve">Email </w:t>
      </w:r>
      <w:r w:rsidR="006571BA" w:rsidRPr="00197AB2">
        <w:rPr>
          <w:rFonts w:cs="Arial"/>
          <w:sz w:val="22"/>
          <w:szCs w:val="22"/>
        </w:rPr>
        <w:t>completed application</w:t>
      </w:r>
      <w:r w:rsidRPr="00197AB2">
        <w:rPr>
          <w:rFonts w:cs="Arial"/>
          <w:sz w:val="22"/>
          <w:szCs w:val="22"/>
        </w:rPr>
        <w:t xml:space="preserve"> to </w:t>
      </w:r>
      <w:r w:rsidRPr="00197AB2">
        <w:rPr>
          <w:rFonts w:cs="Arial"/>
          <w:b/>
          <w:color w:val="FF0000"/>
          <w:sz w:val="22"/>
          <w:szCs w:val="22"/>
        </w:rPr>
        <w:t>lfs.gradasst@ubc.ca</w:t>
      </w:r>
      <w:r w:rsidRPr="00197AB2">
        <w:rPr>
          <w:rFonts w:cs="Arial"/>
          <w:color w:val="FF0000"/>
          <w:sz w:val="22"/>
          <w:szCs w:val="22"/>
        </w:rPr>
        <w:t xml:space="preserve"> </w:t>
      </w:r>
      <w:r w:rsidRPr="00197AB2">
        <w:rPr>
          <w:rFonts w:cs="Arial"/>
          <w:sz w:val="22"/>
          <w:szCs w:val="22"/>
        </w:rPr>
        <w:t xml:space="preserve">by the application deadline.  </w:t>
      </w:r>
      <w:r w:rsidRPr="00197AB2">
        <w:rPr>
          <w:rFonts w:cs="Arial"/>
          <w:b/>
          <w:sz w:val="22"/>
          <w:szCs w:val="22"/>
          <w:highlight w:val="yellow"/>
        </w:rPr>
        <w:t>LATE APPLICATIONS WILL NOT BE ACCEPTED – NO EXCEPTIONS</w:t>
      </w:r>
      <w:r w:rsidRPr="00197AB2">
        <w:rPr>
          <w:rFonts w:cs="Arial"/>
          <w:b/>
          <w:sz w:val="22"/>
          <w:szCs w:val="22"/>
        </w:rPr>
        <w:t>.</w:t>
      </w:r>
    </w:p>
    <w:p w:rsidR="007C0DB0" w:rsidRPr="00197AB2" w:rsidRDefault="007C0DB0" w:rsidP="007C0DB0">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Do not exceed the word limit per entry.  Anything submitted in excess of the limit will be truncated prior to submission to committee for review</w:t>
      </w:r>
      <w:r w:rsidR="006571BA" w:rsidRPr="00197AB2">
        <w:rPr>
          <w:rFonts w:cs="Arial"/>
          <w:sz w:val="22"/>
          <w:szCs w:val="22"/>
        </w:rPr>
        <w:t xml:space="preserve"> unless otherwise stated</w:t>
      </w:r>
      <w:r w:rsidRPr="00197AB2">
        <w:rPr>
          <w:rFonts w:cs="Arial"/>
          <w:sz w:val="22"/>
          <w:szCs w:val="22"/>
        </w:rPr>
        <w:t>.</w:t>
      </w:r>
    </w:p>
    <w:p w:rsidR="007C0DB0" w:rsidRPr="00197AB2" w:rsidRDefault="007C0DB0" w:rsidP="007C0DB0">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lastRenderedPageBreak/>
        <w:t xml:space="preserve">Obtain </w:t>
      </w:r>
      <w:r w:rsidR="00197AB2" w:rsidRPr="00197AB2">
        <w:rPr>
          <w:rFonts w:cs="Arial"/>
          <w:b/>
          <w:sz w:val="22"/>
          <w:szCs w:val="22"/>
        </w:rPr>
        <w:t>transcripts</w:t>
      </w:r>
      <w:r w:rsidRPr="00197AB2">
        <w:rPr>
          <w:rFonts w:cs="Arial"/>
          <w:b/>
          <w:sz w:val="22"/>
          <w:szCs w:val="22"/>
        </w:rPr>
        <w:t xml:space="preserve">:  </w:t>
      </w:r>
      <w:r w:rsidRPr="00197AB2">
        <w:rPr>
          <w:rFonts w:cs="Arial"/>
          <w:sz w:val="22"/>
          <w:szCs w:val="22"/>
        </w:rPr>
        <w:t xml:space="preserve">Students may </w:t>
      </w:r>
      <w:r w:rsidR="00197AB2" w:rsidRPr="00197AB2">
        <w:rPr>
          <w:rFonts w:cs="Arial"/>
          <w:sz w:val="22"/>
          <w:szCs w:val="22"/>
        </w:rPr>
        <w:t>ask the LFS</w:t>
      </w:r>
      <w:r w:rsidR="006571BA" w:rsidRPr="00197AB2">
        <w:rPr>
          <w:rFonts w:cs="Arial"/>
          <w:sz w:val="22"/>
          <w:szCs w:val="22"/>
        </w:rPr>
        <w:t xml:space="preserve"> G&amp;PS office </w:t>
      </w:r>
      <w:r w:rsidR="006571BA" w:rsidRPr="00197AB2">
        <w:rPr>
          <w:rFonts w:cs="Arial"/>
          <w:b/>
          <w:color w:val="FF0000"/>
          <w:sz w:val="22"/>
          <w:szCs w:val="22"/>
        </w:rPr>
        <w:t>lfs.gradasst@ubc.ca</w:t>
      </w:r>
      <w:r w:rsidR="006571BA" w:rsidRPr="00197AB2">
        <w:rPr>
          <w:rFonts w:cs="Arial"/>
          <w:sz w:val="22"/>
          <w:szCs w:val="22"/>
        </w:rPr>
        <w:t xml:space="preserve"> to</w:t>
      </w:r>
      <w:r w:rsidRPr="00197AB2">
        <w:rPr>
          <w:rFonts w:cs="Arial"/>
          <w:sz w:val="22"/>
          <w:szCs w:val="22"/>
        </w:rPr>
        <w:t xml:space="preserve"> photocopy the transcripts currently in their file, as long as they are current.  UBC transcripts are not required.</w:t>
      </w:r>
      <w:r w:rsidRPr="00197AB2">
        <w:rPr>
          <w:rFonts w:cs="Arial"/>
          <w:sz w:val="22"/>
          <w:szCs w:val="22"/>
        </w:rPr>
        <w:br/>
      </w:r>
    </w:p>
    <w:p w:rsidR="00CD7200" w:rsidRDefault="007C0DB0" w:rsidP="007C0DB0">
      <w:pPr>
        <w:numPr>
          <w:ilvl w:val="0"/>
          <w:numId w:val="3"/>
        </w:numPr>
        <w:spacing w:after="0"/>
        <w:ind w:right="144"/>
        <w:rPr>
          <w:rFonts w:cs="Arial"/>
          <w:sz w:val="22"/>
          <w:szCs w:val="22"/>
        </w:rPr>
      </w:pPr>
      <w:r w:rsidRPr="00197AB2">
        <w:rPr>
          <w:rFonts w:cs="Arial"/>
          <w:b/>
          <w:sz w:val="22"/>
          <w:szCs w:val="22"/>
        </w:rPr>
        <w:t xml:space="preserve">Reference Letter:  </w:t>
      </w:r>
      <w:r w:rsidRPr="00197AB2">
        <w:rPr>
          <w:rFonts w:cs="Arial"/>
          <w:sz w:val="22"/>
          <w:szCs w:val="22"/>
        </w:rPr>
        <w:t xml:space="preserve">ONE (1) reference letter is to be sent directly </w:t>
      </w:r>
      <w:r w:rsidR="00197AB2" w:rsidRPr="00197AB2">
        <w:rPr>
          <w:rFonts w:cs="Arial"/>
          <w:sz w:val="22"/>
          <w:szCs w:val="22"/>
        </w:rPr>
        <w:t xml:space="preserve">to </w:t>
      </w:r>
      <w:hyperlink r:id="rId7" w:history="1">
        <w:r w:rsidR="00197AB2" w:rsidRPr="00197AB2">
          <w:rPr>
            <w:rStyle w:val="Hyperlink"/>
            <w:rFonts w:cs="Arial"/>
            <w:b/>
            <w:sz w:val="22"/>
            <w:szCs w:val="22"/>
          </w:rPr>
          <w:t>lfs.gradasst@ubc.ca</w:t>
        </w:r>
      </w:hyperlink>
      <w:r w:rsidR="00197AB2" w:rsidRPr="00197AB2">
        <w:rPr>
          <w:rFonts w:cs="Arial"/>
          <w:b/>
          <w:color w:val="FF0000"/>
          <w:sz w:val="22"/>
          <w:szCs w:val="22"/>
        </w:rPr>
        <w:t xml:space="preserve"> </w:t>
      </w:r>
      <w:r w:rsidR="00197AB2" w:rsidRPr="00197AB2">
        <w:rPr>
          <w:rFonts w:cs="Arial"/>
          <w:color w:val="000000" w:themeColor="text1"/>
          <w:sz w:val="22"/>
          <w:szCs w:val="22"/>
        </w:rPr>
        <w:t>prior to the application</w:t>
      </w:r>
      <w:r w:rsidRPr="00197AB2">
        <w:rPr>
          <w:rFonts w:cs="Arial"/>
          <w:color w:val="000000" w:themeColor="text1"/>
          <w:sz w:val="22"/>
          <w:szCs w:val="22"/>
        </w:rPr>
        <w:t xml:space="preserve"> </w:t>
      </w:r>
      <w:r w:rsidRPr="00197AB2">
        <w:rPr>
          <w:rFonts w:cs="Arial"/>
          <w:sz w:val="22"/>
          <w:szCs w:val="22"/>
        </w:rPr>
        <w:t>deadline (email preferred)</w:t>
      </w:r>
      <w:r w:rsidR="00CD7200">
        <w:rPr>
          <w:rFonts w:cs="Arial"/>
          <w:sz w:val="22"/>
          <w:szCs w:val="22"/>
        </w:rPr>
        <w:t xml:space="preserve"> using the </w:t>
      </w:r>
      <w:r w:rsidR="00CD7200" w:rsidRPr="001B592C">
        <w:rPr>
          <w:rFonts w:cs="Arial"/>
          <w:b/>
          <w:sz w:val="22"/>
          <w:szCs w:val="22"/>
        </w:rPr>
        <w:t>2022-2023 LFS Major Award Application Reference form</w:t>
      </w:r>
      <w:r w:rsidRPr="00197AB2">
        <w:rPr>
          <w:rFonts w:cs="Arial"/>
          <w:sz w:val="22"/>
          <w:szCs w:val="22"/>
        </w:rPr>
        <w:t xml:space="preserve">.  The </w:t>
      </w:r>
      <w:r w:rsidR="00197AB2" w:rsidRPr="00197AB2">
        <w:rPr>
          <w:rFonts w:cs="Arial"/>
          <w:sz w:val="22"/>
          <w:szCs w:val="22"/>
        </w:rPr>
        <w:t>referee</w:t>
      </w:r>
      <w:r w:rsidRPr="00197AB2">
        <w:rPr>
          <w:rFonts w:cs="Arial"/>
          <w:sz w:val="22"/>
          <w:szCs w:val="22"/>
        </w:rPr>
        <w:t xml:space="preserve"> should </w:t>
      </w:r>
      <w:r w:rsidR="00197AB2" w:rsidRPr="00197AB2">
        <w:rPr>
          <w:rFonts w:cs="Arial"/>
          <w:sz w:val="22"/>
          <w:szCs w:val="22"/>
        </w:rPr>
        <w:t>be an academic.  The reference must include the</w:t>
      </w:r>
      <w:r w:rsidRPr="00197AB2">
        <w:rPr>
          <w:rFonts w:cs="Arial"/>
          <w:sz w:val="22"/>
          <w:szCs w:val="22"/>
        </w:rPr>
        <w:t xml:space="preserve"> title/rank of the Referee and should be sent from their institutional email address.</w:t>
      </w:r>
      <w:r w:rsidR="00197AB2" w:rsidRPr="00197AB2">
        <w:rPr>
          <w:rFonts w:cs="Arial"/>
          <w:sz w:val="22"/>
          <w:szCs w:val="22"/>
        </w:rPr>
        <w:t xml:space="preserve">  Ideally, the reference should provide details that otherwise may not be available in the application as outlined in Appendix II.</w:t>
      </w:r>
    </w:p>
    <w:p w:rsidR="00CD7200" w:rsidRDefault="00CD7200" w:rsidP="00CD7200">
      <w:pPr>
        <w:spacing w:after="0"/>
        <w:ind w:right="144"/>
        <w:rPr>
          <w:rFonts w:cs="Arial"/>
          <w:sz w:val="22"/>
          <w:szCs w:val="22"/>
        </w:rPr>
      </w:pPr>
    </w:p>
    <w:p w:rsidR="00CD7200" w:rsidRPr="00CD7200" w:rsidRDefault="00CD7200" w:rsidP="001B592C">
      <w:pPr>
        <w:numPr>
          <w:ilvl w:val="0"/>
          <w:numId w:val="6"/>
        </w:numPr>
        <w:spacing w:after="0"/>
        <w:ind w:right="144"/>
        <w:rPr>
          <w:rFonts w:cs="Arial"/>
          <w:sz w:val="22"/>
          <w:szCs w:val="22"/>
        </w:rPr>
      </w:pPr>
      <w:r w:rsidRPr="00CD7200">
        <w:rPr>
          <w:rFonts w:cs="Arial"/>
          <w:b/>
          <w:sz w:val="22"/>
          <w:szCs w:val="22"/>
        </w:rPr>
        <w:t>CV:</w:t>
      </w:r>
      <w:r w:rsidRPr="00CD7200">
        <w:rPr>
          <w:rFonts w:cs="Arial"/>
          <w:sz w:val="22"/>
          <w:szCs w:val="22"/>
        </w:rPr>
        <w:t xml:space="preserve">  </w:t>
      </w:r>
      <w:r>
        <w:rPr>
          <w:rFonts w:cs="Arial"/>
          <w:sz w:val="22"/>
          <w:szCs w:val="22"/>
        </w:rPr>
        <w:t>Applicants</w:t>
      </w:r>
      <w:r w:rsidRPr="00CD7200">
        <w:rPr>
          <w:rFonts w:cs="Arial"/>
          <w:sz w:val="22"/>
          <w:szCs w:val="22"/>
        </w:rPr>
        <w:t xml:space="preserve"> are strongly encouraged to submit a PDF version of the generic </w:t>
      </w:r>
      <w:hyperlink r:id="rId8" w:history="1">
        <w:r w:rsidRPr="001B592C">
          <w:rPr>
            <w:rStyle w:val="Hyperlink"/>
            <w:rFonts w:cs="Arial"/>
            <w:b/>
            <w:sz w:val="22"/>
            <w:szCs w:val="22"/>
          </w:rPr>
          <w:t>Canadian Common CV</w:t>
        </w:r>
      </w:hyperlink>
      <w:r w:rsidRPr="00CD7200">
        <w:rPr>
          <w:rFonts w:cs="Arial"/>
          <w:sz w:val="22"/>
          <w:szCs w:val="22"/>
        </w:rPr>
        <w:t>.  The information provided in this CV could assist adjudicators with their evaluation of your applica</w:t>
      </w:r>
      <w:r>
        <w:rPr>
          <w:rFonts w:cs="Arial"/>
          <w:sz w:val="22"/>
          <w:szCs w:val="22"/>
        </w:rPr>
        <w:t>tion.  No other form of CV will be accepted.</w:t>
      </w:r>
    </w:p>
    <w:p w:rsidR="007C0DB0" w:rsidRDefault="007C0DB0" w:rsidP="007C0DB0">
      <w:pPr>
        <w:spacing w:after="0"/>
        <w:ind w:right="144"/>
        <w:rPr>
          <w:rFonts w:cs="Arial"/>
          <w:sz w:val="22"/>
          <w:szCs w:val="22"/>
        </w:rPr>
      </w:pPr>
    </w:p>
    <w:p w:rsidR="00CD7200" w:rsidRPr="00197AB2" w:rsidRDefault="00CD7200" w:rsidP="007C0DB0">
      <w:pPr>
        <w:spacing w:after="0"/>
        <w:ind w:right="144"/>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Award Start Dates</w:t>
      </w:r>
    </w:p>
    <w:p w:rsidR="007C0DB0" w:rsidRPr="00197AB2" w:rsidRDefault="007C0DB0" w:rsidP="007C0DB0">
      <w:pPr>
        <w:pStyle w:val="normalarial"/>
        <w:numPr>
          <w:ilvl w:val="12"/>
          <w:numId w:val="0"/>
        </w:numPr>
        <w:rPr>
          <w:rFonts w:cs="Arial"/>
          <w:sz w:val="22"/>
          <w:szCs w:val="22"/>
        </w:rPr>
      </w:pPr>
      <w:r w:rsidRPr="00197AB2">
        <w:rPr>
          <w:rFonts w:cs="Arial"/>
          <w:sz w:val="22"/>
          <w:szCs w:val="22"/>
        </w:rPr>
        <w:t>Land and Food Systems Scholarships are normally awarded for the academic year from September 1 - August 31.</w:t>
      </w:r>
    </w:p>
    <w:p w:rsidR="007C0DB0" w:rsidRPr="00197AB2" w:rsidRDefault="007C0DB0" w:rsidP="007C0DB0">
      <w:pPr>
        <w:spacing w:after="0"/>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Award End Dates</w:t>
      </w:r>
    </w:p>
    <w:p w:rsidR="007C0DB0" w:rsidRPr="00197AB2" w:rsidRDefault="007C0DB0" w:rsidP="007C0DB0">
      <w:pPr>
        <w:overflowPunct w:val="0"/>
        <w:autoSpaceDE w:val="0"/>
        <w:autoSpaceDN w:val="0"/>
        <w:adjustRightInd w:val="0"/>
        <w:spacing w:after="0"/>
        <w:ind w:right="144"/>
        <w:textAlignment w:val="baseline"/>
        <w:rPr>
          <w:rFonts w:eastAsia="Times New Roman" w:cs="Arial"/>
          <w:sz w:val="22"/>
          <w:szCs w:val="22"/>
          <w:lang w:val="en-CA"/>
        </w:rPr>
      </w:pPr>
      <w:r w:rsidRPr="00197AB2">
        <w:rPr>
          <w:rFonts w:eastAsia="Times New Roman" w:cs="Arial"/>
          <w:sz w:val="22"/>
          <w:szCs w:val="22"/>
          <w:lang w:val="en-CA"/>
        </w:rPr>
        <w:t>Students will receive the full amount of their award unless they voluntarily withdraw from their programs or are required to withdraw.  Note:  students on approved leaves will have their award payments suspended until their return to full-time registration.</w:t>
      </w:r>
    </w:p>
    <w:p w:rsidR="00197AB2" w:rsidRDefault="00197AB2" w:rsidP="00CD7200">
      <w:pPr>
        <w:spacing w:after="0"/>
        <w:rPr>
          <w:rFonts w:cs="Arial"/>
          <w:b/>
          <w:sz w:val="24"/>
          <w:szCs w:val="24"/>
        </w:rPr>
      </w:pPr>
    </w:p>
    <w:p w:rsidR="00CA794D" w:rsidRDefault="00CA794D" w:rsidP="00CD7200">
      <w:pPr>
        <w:spacing w:after="0"/>
        <w:rPr>
          <w:rFonts w:cs="Arial"/>
          <w:b/>
          <w:sz w:val="24"/>
          <w:szCs w:val="24"/>
        </w:rPr>
      </w:pPr>
    </w:p>
    <w:p w:rsidR="00CA794D" w:rsidRDefault="00CA794D" w:rsidP="00CD7200">
      <w:pPr>
        <w:spacing w:after="0"/>
        <w:rPr>
          <w:rFonts w:cs="Arial"/>
          <w:b/>
          <w:sz w:val="24"/>
          <w:szCs w:val="24"/>
        </w:rPr>
      </w:pPr>
    </w:p>
    <w:p w:rsidR="00197AB2" w:rsidRDefault="00197AB2"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CA794D" w:rsidRDefault="00CA794D" w:rsidP="007C0DB0">
      <w:pPr>
        <w:spacing w:after="0"/>
        <w:jc w:val="center"/>
        <w:rPr>
          <w:rFonts w:cs="Arial"/>
          <w:b/>
          <w:sz w:val="24"/>
          <w:szCs w:val="24"/>
        </w:rPr>
      </w:pPr>
    </w:p>
    <w:p w:rsidR="007C0DB0" w:rsidRPr="00B4037F" w:rsidRDefault="007C0DB0" w:rsidP="007C0DB0">
      <w:pPr>
        <w:spacing w:after="0"/>
        <w:jc w:val="center"/>
        <w:rPr>
          <w:rFonts w:cs="Arial"/>
          <w:b/>
          <w:sz w:val="24"/>
          <w:szCs w:val="24"/>
        </w:rPr>
      </w:pPr>
      <w:r w:rsidRPr="00B4037F">
        <w:rPr>
          <w:rFonts w:cs="Arial"/>
          <w:b/>
          <w:sz w:val="24"/>
          <w:szCs w:val="24"/>
        </w:rPr>
        <w:lastRenderedPageBreak/>
        <w:t>Appendix I</w:t>
      </w:r>
    </w:p>
    <w:p w:rsidR="007C0DB0" w:rsidRPr="00B4037F" w:rsidRDefault="007C0DB0" w:rsidP="007C0DB0">
      <w:pPr>
        <w:spacing w:after="0"/>
        <w:jc w:val="center"/>
        <w:rPr>
          <w:rFonts w:cs="Arial"/>
          <w:b/>
          <w:sz w:val="24"/>
          <w:szCs w:val="24"/>
          <w:u w:val="single"/>
        </w:rPr>
      </w:pPr>
      <w:r w:rsidRPr="00B4037F">
        <w:rPr>
          <w:rFonts w:cs="Arial"/>
          <w:b/>
          <w:sz w:val="24"/>
          <w:szCs w:val="24"/>
          <w:u w:val="single"/>
        </w:rPr>
        <w:t>Awards and Descriptions</w:t>
      </w:r>
    </w:p>
    <w:p w:rsidR="007C0DB0" w:rsidRPr="00B4037F" w:rsidRDefault="007C0DB0" w:rsidP="007C0DB0">
      <w:pPr>
        <w:spacing w:after="0"/>
        <w:rPr>
          <w:rFonts w:cs="Arial"/>
        </w:rPr>
      </w:pPr>
    </w:p>
    <w:tbl>
      <w:tblPr>
        <w:tblStyle w:val="TableGrid"/>
        <w:tblW w:w="10165" w:type="dxa"/>
        <w:jc w:val="center"/>
        <w:tblLook w:val="04A0" w:firstRow="1" w:lastRow="0" w:firstColumn="1" w:lastColumn="0" w:noHBand="0" w:noVBand="1"/>
      </w:tblPr>
      <w:tblGrid>
        <w:gridCol w:w="905"/>
        <w:gridCol w:w="9260"/>
      </w:tblGrid>
      <w:tr w:rsidR="007C0DB0" w:rsidRPr="00B4037F" w:rsidTr="00427379">
        <w:trPr>
          <w:trHeight w:val="458"/>
          <w:jc w:val="center"/>
        </w:trPr>
        <w:tc>
          <w:tcPr>
            <w:tcW w:w="905" w:type="dxa"/>
            <w:vAlign w:val="center"/>
          </w:tcPr>
          <w:p w:rsidR="007C0DB0" w:rsidRPr="00B4037F" w:rsidRDefault="007C0DB0" w:rsidP="00A80C80">
            <w:pPr>
              <w:rPr>
                <w:rFonts w:cs="Arial"/>
                <w:b/>
                <w:sz w:val="16"/>
                <w:szCs w:val="16"/>
              </w:rPr>
            </w:pPr>
            <w:r w:rsidRPr="00B4037F">
              <w:rPr>
                <w:rFonts w:cs="Arial"/>
                <w:b/>
                <w:color w:val="2E74B5" w:themeColor="accent5" w:themeShade="BF"/>
                <w:sz w:val="16"/>
                <w:szCs w:val="16"/>
              </w:rPr>
              <w:t>Eligible Program</w:t>
            </w:r>
          </w:p>
        </w:tc>
        <w:tc>
          <w:tcPr>
            <w:tcW w:w="9260" w:type="dxa"/>
            <w:vAlign w:val="center"/>
          </w:tcPr>
          <w:p w:rsidR="007C0DB0" w:rsidRPr="00427379" w:rsidRDefault="00427379" w:rsidP="00427379">
            <w:pPr>
              <w:rPr>
                <w:rFonts w:cs="Arial"/>
                <w:b/>
                <w:color w:val="2F5496" w:themeColor="accent1" w:themeShade="BF"/>
                <w:sz w:val="18"/>
                <w:szCs w:val="18"/>
              </w:rPr>
            </w:pPr>
            <w:r>
              <w:rPr>
                <w:rFonts w:cs="Arial"/>
                <w:b/>
                <w:color w:val="2F5496" w:themeColor="accent1" w:themeShade="BF"/>
                <w:sz w:val="18"/>
                <w:szCs w:val="18"/>
              </w:rPr>
              <w:t>Scholarship Name/</w:t>
            </w:r>
            <w:r w:rsidR="007C0DB0" w:rsidRPr="00620C89">
              <w:rPr>
                <w:rFonts w:cs="Arial"/>
                <w:b/>
                <w:color w:val="2F5496" w:themeColor="accent1" w:themeShade="BF"/>
                <w:sz w:val="18"/>
                <w:szCs w:val="18"/>
              </w:rPr>
              <w:t>Award Description</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#4819</w:t>
            </w:r>
          </w:p>
          <w:p w:rsidR="007C0DB0" w:rsidRPr="00B4037F" w:rsidRDefault="007C0DB0" w:rsidP="00A80C80">
            <w:pPr>
              <w:jc w:val="center"/>
              <w:rPr>
                <w:rFonts w:cs="Arial"/>
                <w:b/>
              </w:rPr>
            </w:pPr>
          </w:p>
          <w:p w:rsidR="007C0DB0" w:rsidRPr="00B4037F" w:rsidRDefault="007C0DB0" w:rsidP="00A80C80">
            <w:pPr>
              <w:jc w:val="center"/>
              <w:rPr>
                <w:rFonts w:cs="Arial"/>
                <w:b/>
                <w:color w:val="2E74B5" w:themeColor="accent5" w:themeShade="BF"/>
              </w:rPr>
            </w:pPr>
            <w:r w:rsidRPr="00B4037F">
              <w:rPr>
                <w:rFonts w:cs="Arial"/>
                <w:b/>
                <w:color w:val="2E74B5" w:themeColor="accent5" w:themeShade="BF"/>
              </w:rPr>
              <w:t>ALL</w:t>
            </w:r>
          </w:p>
          <w:p w:rsidR="007C0DB0" w:rsidRPr="00B4037F" w:rsidRDefault="007C0DB0" w:rsidP="00A80C80">
            <w:pPr>
              <w:rPr>
                <w:rFonts w:cs="Arial"/>
              </w:rPr>
            </w:pPr>
          </w:p>
        </w:tc>
        <w:tc>
          <w:tcPr>
            <w:tcW w:w="9260" w:type="dxa"/>
          </w:tcPr>
          <w:p w:rsidR="00CA794D"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Leonard S. KLINCK Memorial Fellowship</w:t>
            </w:r>
            <w:r w:rsidR="00620C89">
              <w:rPr>
                <w:rFonts w:cs="Arial"/>
                <w:b/>
                <w:color w:val="1F3864" w:themeColor="accent1" w:themeShade="80"/>
                <w:sz w:val="22"/>
                <w:szCs w:val="22"/>
              </w:rPr>
              <w:t xml:space="preserve">  </w:t>
            </w:r>
          </w:p>
          <w:p w:rsidR="007C0DB0" w:rsidRPr="00620C89" w:rsidRDefault="007C0DB0" w:rsidP="00A80C80">
            <w:pPr>
              <w:rPr>
                <w:rFonts w:cs="Arial"/>
                <w:b/>
                <w:color w:val="1F3864" w:themeColor="accent1" w:themeShade="80"/>
                <w:sz w:val="22"/>
                <w:szCs w:val="22"/>
              </w:rPr>
            </w:pPr>
            <w:r w:rsidRPr="00B4037F">
              <w:rPr>
                <w:rFonts w:cs="Arial"/>
                <w:sz w:val="18"/>
                <w:szCs w:val="18"/>
              </w:rPr>
              <w:t xml:space="preserve">Fellowships </w:t>
            </w:r>
            <w:proofErr w:type="spellStart"/>
            <w:r w:rsidRPr="00B4037F">
              <w:rPr>
                <w:rFonts w:cs="Arial"/>
                <w:sz w:val="18"/>
                <w:szCs w:val="18"/>
              </w:rPr>
              <w:t>totalling</w:t>
            </w:r>
            <w:proofErr w:type="spellEnd"/>
            <w:r w:rsidRPr="00B4037F">
              <w:rPr>
                <w:rFonts w:cs="Arial"/>
                <w:sz w:val="18"/>
                <w:szCs w:val="18"/>
              </w:rPr>
              <w:t xml:space="preserve"> $15,</w:t>
            </w:r>
            <w:r w:rsidR="005162EB">
              <w:rPr>
                <w:rFonts w:cs="Arial"/>
                <w:sz w:val="18"/>
                <w:szCs w:val="18"/>
              </w:rPr>
              <w:t>400</w:t>
            </w:r>
            <w:r w:rsidRPr="00B4037F">
              <w:rPr>
                <w:rFonts w:cs="Arial"/>
                <w:sz w:val="18"/>
                <w:szCs w:val="18"/>
              </w:rPr>
              <w:t xml:space="preserve"> have been endowed by the late Dean Emeritus Blythe Eagles and Violet E. Eagles on the occasion of the 75th anniversary of the University. The award is to honor Leonard S. </w:t>
            </w:r>
            <w:proofErr w:type="spellStart"/>
            <w:r w:rsidRPr="00B4037F">
              <w:rPr>
                <w:rFonts w:cs="Arial"/>
                <w:sz w:val="18"/>
                <w:szCs w:val="18"/>
              </w:rPr>
              <w:t>Klinck</w:t>
            </w:r>
            <w:proofErr w:type="spellEnd"/>
            <w:r w:rsidRPr="00B4037F">
              <w:rPr>
                <w:rFonts w:cs="Arial"/>
                <w:sz w:val="18"/>
                <w:szCs w:val="18"/>
              </w:rPr>
              <w:t>, the first Dean of the Faculty of Agricultural Sciences (1914-1919) and second President of the University (1919-1944). The award is offered to students registered in Graduate Programs in the Faculty of Land and Food Systems and are made on the recommendation of the Faculty of Land and Food Systems in consultation with the Faculty of Graduate and Postdoctoral Studies.</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#4848</w:t>
            </w:r>
          </w:p>
          <w:p w:rsidR="007C0DB0" w:rsidRPr="00B4037F" w:rsidRDefault="007C0DB0" w:rsidP="00A80C80">
            <w:pPr>
              <w:jc w:val="center"/>
              <w:rPr>
                <w:rFonts w:cs="Arial"/>
              </w:rPr>
            </w:pPr>
          </w:p>
          <w:p w:rsidR="007C0DB0" w:rsidRPr="00B4037F" w:rsidRDefault="007C0DB0" w:rsidP="00A80C80">
            <w:pPr>
              <w:jc w:val="center"/>
              <w:rPr>
                <w:rFonts w:cs="Arial"/>
                <w:b/>
              </w:rPr>
            </w:pPr>
            <w:r w:rsidRPr="00B4037F">
              <w:rPr>
                <w:rFonts w:cs="Arial"/>
                <w:b/>
                <w:color w:val="2E74B5" w:themeColor="accent5" w:themeShade="BF"/>
              </w:rPr>
              <w:t>ALL</w:t>
            </w:r>
          </w:p>
        </w:tc>
        <w:tc>
          <w:tcPr>
            <w:tcW w:w="9260" w:type="dxa"/>
          </w:tcPr>
          <w:p w:rsidR="00CA794D" w:rsidRDefault="007C0DB0" w:rsidP="00620C89">
            <w:pPr>
              <w:rPr>
                <w:rFonts w:cs="Arial"/>
                <w:b/>
                <w:color w:val="1F3864" w:themeColor="accent1" w:themeShade="80"/>
                <w:sz w:val="22"/>
                <w:szCs w:val="22"/>
              </w:rPr>
            </w:pPr>
            <w:r w:rsidRPr="00B4037F">
              <w:rPr>
                <w:rFonts w:cs="Arial"/>
                <w:b/>
                <w:color w:val="1F3864" w:themeColor="accent1" w:themeShade="80"/>
                <w:sz w:val="22"/>
                <w:szCs w:val="22"/>
              </w:rPr>
              <w:t>Mary and David MACAREE Fellowship</w:t>
            </w:r>
            <w:r w:rsidR="00620C89">
              <w:rPr>
                <w:rFonts w:cs="Arial"/>
                <w:b/>
                <w:color w:val="1F3864" w:themeColor="accent1" w:themeShade="80"/>
                <w:sz w:val="22"/>
                <w:szCs w:val="22"/>
              </w:rPr>
              <w:t xml:space="preserve">  </w:t>
            </w:r>
          </w:p>
          <w:p w:rsidR="007C0DB0" w:rsidRPr="00620C89" w:rsidRDefault="007C0DB0" w:rsidP="00620C89">
            <w:pPr>
              <w:rPr>
                <w:rFonts w:cs="Arial"/>
                <w:b/>
                <w:color w:val="1F3864" w:themeColor="accent1" w:themeShade="80"/>
                <w:sz w:val="22"/>
                <w:szCs w:val="22"/>
              </w:rPr>
            </w:pPr>
            <w:r w:rsidRPr="00B4037F">
              <w:rPr>
                <w:rFonts w:eastAsia="Times New Roman" w:cs="Arial"/>
                <w:kern w:val="28"/>
                <w:sz w:val="18"/>
                <w:szCs w:val="18"/>
                <w14:cntxtAlts/>
              </w:rPr>
              <w:t xml:space="preserve">Fellowships </w:t>
            </w:r>
            <w:proofErr w:type="spellStart"/>
            <w:r w:rsidRPr="00B4037F">
              <w:rPr>
                <w:rFonts w:eastAsia="Times New Roman" w:cs="Arial"/>
                <w:kern w:val="28"/>
                <w:sz w:val="18"/>
                <w:szCs w:val="18"/>
                <w14:cntxtAlts/>
              </w:rPr>
              <w:t>totalling</w:t>
            </w:r>
            <w:proofErr w:type="spellEnd"/>
            <w:r w:rsidRPr="00B4037F">
              <w:rPr>
                <w:rFonts w:eastAsia="Times New Roman" w:cs="Arial"/>
                <w:kern w:val="28"/>
                <w:sz w:val="18"/>
                <w:szCs w:val="18"/>
                <w14:cntxtAlts/>
              </w:rPr>
              <w:t xml:space="preserve"> $</w:t>
            </w:r>
            <w:r w:rsidR="005162EB">
              <w:rPr>
                <w:rFonts w:eastAsia="Times New Roman" w:cs="Arial"/>
                <w:kern w:val="28"/>
                <w:sz w:val="18"/>
                <w:szCs w:val="18"/>
                <w14:cntxtAlts/>
              </w:rPr>
              <w:t>72,200</w:t>
            </w:r>
            <w:r w:rsidRPr="00B4037F">
              <w:rPr>
                <w:rFonts w:eastAsia="Times New Roman" w:cs="Arial"/>
                <w:kern w:val="28"/>
                <w:sz w:val="18"/>
                <w:szCs w:val="18"/>
                <w14:cntxtAlts/>
              </w:rPr>
              <w:t xml:space="preserve"> have been endowed through a bequest by Mary </w:t>
            </w:r>
            <w:proofErr w:type="spellStart"/>
            <w:r w:rsidRPr="00B4037F">
              <w:rPr>
                <w:rFonts w:eastAsia="Times New Roman" w:cs="Arial"/>
                <w:kern w:val="28"/>
                <w:sz w:val="18"/>
                <w:szCs w:val="18"/>
                <w14:cntxtAlts/>
              </w:rPr>
              <w:t>Macaree</w:t>
            </w:r>
            <w:proofErr w:type="spellEnd"/>
            <w:r w:rsidRPr="00B4037F">
              <w:rPr>
                <w:rFonts w:eastAsia="Times New Roman" w:cs="Arial"/>
                <w:kern w:val="28"/>
                <w:sz w:val="18"/>
                <w:szCs w:val="18"/>
                <w14:cntxtAlts/>
              </w:rPr>
              <w:t xml:space="preserve"> (B.L.S. 1963) and David </w:t>
            </w:r>
            <w:proofErr w:type="spellStart"/>
            <w:r w:rsidRPr="00B4037F">
              <w:rPr>
                <w:rFonts w:eastAsia="Times New Roman" w:cs="Arial"/>
                <w:kern w:val="28"/>
                <w:sz w:val="18"/>
                <w:szCs w:val="18"/>
                <w14:cntxtAlts/>
              </w:rPr>
              <w:t>Macaree</w:t>
            </w:r>
            <w:proofErr w:type="spellEnd"/>
            <w:r w:rsidRPr="00B4037F">
              <w:rPr>
                <w:rFonts w:eastAsia="Times New Roman" w:cs="Arial"/>
                <w:kern w:val="28"/>
                <w:sz w:val="18"/>
                <w:szCs w:val="18"/>
                <w14:cntxtAlts/>
              </w:rPr>
              <w:t xml:space="preserv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and Postdoctoral Studies.</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#6303</w:t>
            </w:r>
          </w:p>
          <w:p w:rsidR="007C0DB0" w:rsidRPr="00B4037F" w:rsidRDefault="007C0DB0" w:rsidP="00A80C80">
            <w:pPr>
              <w:rPr>
                <w:rFonts w:cs="Arial"/>
                <w:b/>
                <w:color w:val="2E74B5" w:themeColor="accent5" w:themeShade="BF"/>
              </w:rPr>
            </w:pPr>
            <w:r w:rsidRPr="00B4037F">
              <w:rPr>
                <w:rFonts w:cs="Arial"/>
                <w:b/>
                <w:color w:val="2E74B5" w:themeColor="accent5" w:themeShade="BF"/>
              </w:rPr>
              <w:t>AABI</w:t>
            </w:r>
          </w:p>
          <w:p w:rsidR="007C0DB0" w:rsidRPr="00B4037F" w:rsidRDefault="007C0DB0" w:rsidP="00A80C80">
            <w:pPr>
              <w:jc w:val="center"/>
              <w:rPr>
                <w:rFonts w:cs="Arial"/>
                <w:b/>
                <w:color w:val="2E74B5" w:themeColor="accent5" w:themeShade="BF"/>
              </w:rPr>
            </w:pPr>
            <w:r w:rsidRPr="00B4037F">
              <w:rPr>
                <w:rFonts w:cs="Arial"/>
                <w:b/>
                <w:color w:val="2E74B5" w:themeColor="accent5" w:themeShade="BF"/>
              </w:rPr>
              <w:t>FOOD</w:t>
            </w:r>
          </w:p>
          <w:p w:rsidR="007C0DB0" w:rsidRPr="00B4037F" w:rsidRDefault="007C0DB0" w:rsidP="00A80C80">
            <w:pPr>
              <w:jc w:val="center"/>
              <w:rPr>
                <w:rFonts w:cs="Arial"/>
                <w:b/>
              </w:rPr>
            </w:pPr>
            <w:r w:rsidRPr="00B4037F">
              <w:rPr>
                <w:rFonts w:cs="Arial"/>
                <w:b/>
                <w:color w:val="2E74B5" w:themeColor="accent5" w:themeShade="BF"/>
              </w:rPr>
              <w:t>HUNU</w:t>
            </w:r>
          </w:p>
        </w:tc>
        <w:tc>
          <w:tcPr>
            <w:tcW w:w="9260" w:type="dxa"/>
          </w:tcPr>
          <w:p w:rsidR="00CA794D"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Wilson HENDERSON Fellowship</w:t>
            </w:r>
            <w:r w:rsidR="00620C89">
              <w:rPr>
                <w:rFonts w:cs="Arial"/>
                <w:b/>
                <w:color w:val="1F3864" w:themeColor="accent1" w:themeShade="80"/>
                <w:sz w:val="22"/>
                <w:szCs w:val="22"/>
              </w:rPr>
              <w:t xml:space="preserve">  </w:t>
            </w:r>
          </w:p>
          <w:p w:rsidR="007C0DB0" w:rsidRPr="00620C89" w:rsidRDefault="007C0DB0" w:rsidP="00A80C80">
            <w:pPr>
              <w:rPr>
                <w:rFonts w:cs="Arial"/>
                <w:b/>
                <w:color w:val="1F3864" w:themeColor="accent1" w:themeShade="80"/>
                <w:sz w:val="22"/>
                <w:szCs w:val="22"/>
              </w:rPr>
            </w:pPr>
            <w:r w:rsidRPr="00B4037F">
              <w:rPr>
                <w:rFonts w:cs="Arial"/>
                <w:color w:val="000000" w:themeColor="text1"/>
                <w:sz w:val="18"/>
                <w:szCs w:val="18"/>
              </w:rPr>
              <w:t>A $11,</w:t>
            </w:r>
            <w:r w:rsidR="005162EB">
              <w:rPr>
                <w:rFonts w:cs="Arial"/>
                <w:color w:val="000000" w:themeColor="text1"/>
                <w:sz w:val="18"/>
                <w:szCs w:val="18"/>
              </w:rPr>
              <w:t>60</w:t>
            </w:r>
            <w:r w:rsidRPr="00B4037F">
              <w:rPr>
                <w:rFonts w:cs="Arial"/>
                <w:color w:val="000000" w:themeColor="text1"/>
                <w:sz w:val="18"/>
                <w:szCs w:val="18"/>
              </w:rPr>
              <w:t>0 fellowship has been endowed through a bequest by Dr. Wilson Henderson. The award is offered to a graduate student in the Faculty of Land and Food Systems, with preference given to those studying in the field of avian nutrition. The award is made on the recommendation of the Faculty of Land and Food Systems in consultation with the Faculty of Graduate and Postdoctoral Studies and may be renewable for up to two years.</w:t>
            </w:r>
          </w:p>
        </w:tc>
      </w:tr>
      <w:tr w:rsidR="007C0DB0" w:rsidRPr="00B4037F" w:rsidTr="00A80C80">
        <w:trPr>
          <w:jc w:val="center"/>
        </w:trPr>
        <w:tc>
          <w:tcPr>
            <w:tcW w:w="905" w:type="dxa"/>
            <w:vAlign w:val="center"/>
          </w:tcPr>
          <w:p w:rsidR="007C0DB0" w:rsidRPr="00A24CE4" w:rsidRDefault="007C0DB0" w:rsidP="00A80C80">
            <w:pPr>
              <w:jc w:val="center"/>
              <w:rPr>
                <w:rFonts w:cs="Arial"/>
                <w:b/>
              </w:rPr>
            </w:pPr>
            <w:r w:rsidRPr="00B4037F">
              <w:rPr>
                <w:rFonts w:cs="Arial"/>
                <w:b/>
              </w:rPr>
              <w:t>#6323</w:t>
            </w:r>
          </w:p>
          <w:p w:rsidR="007C0DB0" w:rsidRPr="00B4037F" w:rsidRDefault="007C0DB0" w:rsidP="00A80C80">
            <w:pPr>
              <w:jc w:val="center"/>
              <w:rPr>
                <w:rFonts w:cs="Arial"/>
                <w:b/>
              </w:rPr>
            </w:pPr>
            <w:r w:rsidRPr="00B4037F">
              <w:rPr>
                <w:rFonts w:cs="Arial"/>
                <w:b/>
                <w:color w:val="2E74B5" w:themeColor="accent5" w:themeShade="BF"/>
              </w:rPr>
              <w:t>ALL</w:t>
            </w:r>
          </w:p>
        </w:tc>
        <w:tc>
          <w:tcPr>
            <w:tcW w:w="9260" w:type="dxa"/>
          </w:tcPr>
          <w:p w:rsidR="00CA794D" w:rsidRDefault="007C0DB0" w:rsidP="00620C89">
            <w:pPr>
              <w:rPr>
                <w:rFonts w:cs="Arial"/>
                <w:b/>
                <w:color w:val="1F3864" w:themeColor="accent1" w:themeShade="80"/>
                <w:sz w:val="22"/>
                <w:szCs w:val="22"/>
              </w:rPr>
            </w:pPr>
            <w:r w:rsidRPr="00B4037F">
              <w:rPr>
                <w:rFonts w:cs="Arial"/>
                <w:b/>
                <w:color w:val="1F3864" w:themeColor="accent1" w:themeShade="80"/>
                <w:sz w:val="22"/>
                <w:szCs w:val="22"/>
              </w:rPr>
              <w:t>NUTRITIONAL Research Fellowship</w:t>
            </w:r>
            <w:r w:rsidR="00620C89">
              <w:rPr>
                <w:rFonts w:cs="Arial"/>
                <w:b/>
                <w:color w:val="1F3864" w:themeColor="accent1" w:themeShade="80"/>
                <w:sz w:val="22"/>
                <w:szCs w:val="22"/>
              </w:rPr>
              <w:t xml:space="preserve">  </w:t>
            </w:r>
          </w:p>
          <w:p w:rsidR="007C0DB0" w:rsidRPr="00620C89" w:rsidRDefault="007C0DB0" w:rsidP="00620C89">
            <w:pPr>
              <w:rPr>
                <w:rFonts w:cs="Arial"/>
                <w:b/>
                <w:color w:val="1F3864" w:themeColor="accent1" w:themeShade="80"/>
                <w:sz w:val="22"/>
                <w:szCs w:val="22"/>
              </w:rPr>
            </w:pPr>
            <w:r w:rsidRPr="00B4037F">
              <w:rPr>
                <w:rFonts w:eastAsia="Times New Roman" w:cs="Arial"/>
                <w:kern w:val="28"/>
                <w:sz w:val="18"/>
                <w:szCs w:val="18"/>
                <w14:cntxtAlts/>
              </w:rPr>
              <w:t xml:space="preserve">Fellowships </w:t>
            </w:r>
            <w:proofErr w:type="spellStart"/>
            <w:r w:rsidRPr="00B4037F">
              <w:rPr>
                <w:rFonts w:eastAsia="Times New Roman" w:cs="Arial"/>
                <w:kern w:val="28"/>
                <w:sz w:val="18"/>
                <w:szCs w:val="18"/>
                <w14:cntxtAlts/>
              </w:rPr>
              <w:t>totalling</w:t>
            </w:r>
            <w:proofErr w:type="spellEnd"/>
            <w:r w:rsidRPr="00B4037F">
              <w:rPr>
                <w:rFonts w:eastAsia="Times New Roman" w:cs="Arial"/>
                <w:kern w:val="28"/>
                <w:sz w:val="18"/>
                <w:szCs w:val="18"/>
                <w14:cntxtAlts/>
              </w:rPr>
              <w:t xml:space="preserve"> $14,</w:t>
            </w:r>
            <w:r w:rsidR="005162EB">
              <w:rPr>
                <w:rFonts w:eastAsia="Times New Roman" w:cs="Arial"/>
                <w:kern w:val="28"/>
                <w:sz w:val="18"/>
                <w:szCs w:val="18"/>
                <w14:cntxtAlts/>
              </w:rPr>
              <w:t>30</w:t>
            </w:r>
            <w:r w:rsidRPr="00B4037F">
              <w:rPr>
                <w:rFonts w:eastAsia="Times New Roman" w:cs="Arial"/>
                <w:kern w:val="28"/>
                <w:sz w:val="18"/>
                <w:szCs w:val="18"/>
                <w14:cntxtAlts/>
              </w:rPr>
              <w:t>0 have been endowed for graduate students in Agricultural Sciences pursuing nutritional research. The awards are made on the recommendation of the Faculty of Land and Food Systems in consultation with the Faculty of Graduate and Postdoctoral Studies.</w:t>
            </w:r>
          </w:p>
        </w:tc>
      </w:tr>
      <w:tr w:rsidR="00620C89" w:rsidRPr="00B4037F" w:rsidTr="00A80C80">
        <w:trPr>
          <w:jc w:val="center"/>
        </w:trPr>
        <w:tc>
          <w:tcPr>
            <w:tcW w:w="905" w:type="dxa"/>
            <w:vAlign w:val="center"/>
          </w:tcPr>
          <w:p w:rsidR="00620C89" w:rsidRDefault="00620C89" w:rsidP="00620C89">
            <w:pPr>
              <w:jc w:val="center"/>
              <w:rPr>
                <w:rFonts w:cs="Arial"/>
                <w:b/>
              </w:rPr>
            </w:pPr>
            <w:r>
              <w:rPr>
                <w:rFonts w:cs="Arial"/>
                <w:b/>
              </w:rPr>
              <w:t>#6768</w:t>
            </w:r>
          </w:p>
          <w:p w:rsidR="00620C89" w:rsidRPr="00B4037F" w:rsidRDefault="00620C89" w:rsidP="00620C89">
            <w:pPr>
              <w:jc w:val="center"/>
              <w:rPr>
                <w:rFonts w:cs="Arial"/>
                <w:b/>
              </w:rPr>
            </w:pPr>
            <w:r w:rsidRPr="00CA794D">
              <w:rPr>
                <w:rFonts w:cs="Arial"/>
                <w:b/>
                <w:color w:val="2E74B5" w:themeColor="accent5" w:themeShade="BF"/>
              </w:rPr>
              <w:t>ALL</w:t>
            </w:r>
          </w:p>
        </w:tc>
        <w:tc>
          <w:tcPr>
            <w:tcW w:w="9260" w:type="dxa"/>
          </w:tcPr>
          <w:p w:rsidR="00CA794D" w:rsidRDefault="00620C89" w:rsidP="00620C89">
            <w:pPr>
              <w:rPr>
                <w:rFonts w:cs="Arial"/>
                <w:b/>
                <w:color w:val="1F3864" w:themeColor="accent1" w:themeShade="80"/>
                <w:sz w:val="22"/>
                <w:szCs w:val="22"/>
              </w:rPr>
            </w:pPr>
            <w:r>
              <w:rPr>
                <w:rFonts w:cs="Arial"/>
                <w:b/>
                <w:color w:val="1F3864" w:themeColor="accent1" w:themeShade="80"/>
                <w:sz w:val="22"/>
                <w:szCs w:val="22"/>
              </w:rPr>
              <w:t xml:space="preserve">BC Graduate Scholarships  </w:t>
            </w:r>
          </w:p>
          <w:p w:rsidR="00620C89" w:rsidRPr="00B4037F" w:rsidRDefault="00620C89" w:rsidP="00620C89">
            <w:pPr>
              <w:rPr>
                <w:rFonts w:cs="Arial"/>
                <w:b/>
                <w:color w:val="1F3864" w:themeColor="accent1" w:themeShade="80"/>
                <w:sz w:val="22"/>
                <w:szCs w:val="22"/>
              </w:rPr>
            </w:pPr>
            <w:r>
              <w:rPr>
                <w:rFonts w:cs="Arial"/>
                <w:color w:val="000000" w:themeColor="text1"/>
                <w:sz w:val="18"/>
                <w:szCs w:val="18"/>
              </w:rPr>
              <w:t>S</w:t>
            </w:r>
            <w:r w:rsidRPr="005D6D44">
              <w:rPr>
                <w:rFonts w:cs="Arial"/>
                <w:color w:val="000000" w:themeColor="text1"/>
                <w:sz w:val="18"/>
                <w:szCs w:val="18"/>
              </w:rPr>
              <w:t>cholarships of $15,000 each are offered annually by the Province of British Columbia to Canadian citizens or permanent residents registered in a graduate degree program in any field of study. The scholarships are made on the recommendation of the recipient's disciplinary Faculty or graduate program, in consultation with the Faculty of Graduate and Postdoctoral Studies.</w:t>
            </w:r>
            <w:r>
              <w:rPr>
                <w:rFonts w:cs="Arial"/>
                <w:b/>
                <w:color w:val="1F3864" w:themeColor="accent1" w:themeShade="80"/>
                <w:sz w:val="22"/>
                <w:szCs w:val="22"/>
              </w:rPr>
              <w:t xml:space="preserve"> </w:t>
            </w:r>
            <w:r w:rsidRPr="00EE5220">
              <w:rPr>
                <w:rFonts w:cs="Arial"/>
                <w:color w:val="000000" w:themeColor="text1"/>
                <w:sz w:val="18"/>
                <w:szCs w:val="18"/>
              </w:rPr>
              <w:t>Registered as a full-time student in a UBC graduate program</w:t>
            </w:r>
            <w:r>
              <w:rPr>
                <w:rFonts w:cs="Arial"/>
                <w:color w:val="000000" w:themeColor="text1"/>
                <w:sz w:val="18"/>
                <w:szCs w:val="18"/>
              </w:rPr>
              <w:t xml:space="preserve"> throughout the funding period.  </w:t>
            </w:r>
            <w:r w:rsidRPr="00EE5220">
              <w:rPr>
                <w:rFonts w:cs="Arial"/>
                <w:color w:val="000000" w:themeColor="text1"/>
                <w:sz w:val="18"/>
                <w:szCs w:val="18"/>
              </w:rPr>
              <w:t>Canadian citizens and Permanent Residents</w:t>
            </w:r>
            <w:r>
              <w:rPr>
                <w:rFonts w:cs="Arial"/>
                <w:color w:val="000000" w:themeColor="text1"/>
                <w:sz w:val="18"/>
                <w:szCs w:val="18"/>
              </w:rPr>
              <w:t>.  Each BCGS has a value of $15,000.  LFS’ allocation is 2 awards.</w:t>
            </w:r>
          </w:p>
        </w:tc>
      </w:tr>
      <w:tr w:rsidR="00CA794D" w:rsidRPr="00B4037F" w:rsidTr="00CA794D">
        <w:trPr>
          <w:trHeight w:val="2600"/>
          <w:jc w:val="center"/>
        </w:trPr>
        <w:tc>
          <w:tcPr>
            <w:tcW w:w="905" w:type="dxa"/>
            <w:vAlign w:val="center"/>
          </w:tcPr>
          <w:p w:rsidR="00CA794D" w:rsidRPr="00CA794D" w:rsidRDefault="00CA794D" w:rsidP="00620C89">
            <w:pPr>
              <w:jc w:val="center"/>
              <w:rPr>
                <w:rFonts w:cs="Arial"/>
                <w:b/>
                <w:sz w:val="16"/>
                <w:szCs w:val="16"/>
              </w:rPr>
            </w:pPr>
            <w:r w:rsidRPr="00CA794D">
              <w:rPr>
                <w:rFonts w:cs="Arial"/>
                <w:b/>
                <w:sz w:val="16"/>
                <w:szCs w:val="16"/>
              </w:rPr>
              <w:t>Award number pending</w:t>
            </w:r>
          </w:p>
          <w:p w:rsidR="00CA794D" w:rsidRDefault="00CA794D" w:rsidP="00620C89">
            <w:pPr>
              <w:jc w:val="center"/>
              <w:rPr>
                <w:rFonts w:cs="Arial"/>
                <w:b/>
              </w:rPr>
            </w:pPr>
          </w:p>
          <w:p w:rsidR="00CA794D" w:rsidRDefault="00CA794D" w:rsidP="00CA794D">
            <w:pPr>
              <w:jc w:val="center"/>
              <w:rPr>
                <w:rFonts w:cs="Arial"/>
                <w:b/>
              </w:rPr>
            </w:pPr>
            <w:r w:rsidRPr="00CA794D">
              <w:rPr>
                <w:rFonts w:cs="Arial"/>
                <w:b/>
                <w:color w:val="2E74B5" w:themeColor="accent5" w:themeShade="BF"/>
              </w:rPr>
              <w:t>ALL</w:t>
            </w:r>
          </w:p>
        </w:tc>
        <w:tc>
          <w:tcPr>
            <w:tcW w:w="9260" w:type="dxa"/>
          </w:tcPr>
          <w:p w:rsidR="00CA794D" w:rsidRDefault="00CA794D" w:rsidP="00620C89">
            <w:pPr>
              <w:rPr>
                <w:rFonts w:cs="Arial"/>
                <w:b/>
                <w:color w:val="1F3864" w:themeColor="accent1" w:themeShade="80"/>
                <w:sz w:val="22"/>
                <w:szCs w:val="22"/>
              </w:rPr>
            </w:pPr>
            <w:r>
              <w:rPr>
                <w:rFonts w:cs="Arial"/>
                <w:b/>
                <w:color w:val="1F3864" w:themeColor="accent1" w:themeShade="80"/>
                <w:sz w:val="22"/>
                <w:szCs w:val="22"/>
              </w:rPr>
              <w:t>Western Grains Research Foundation Scholarship in Land and Food Systems</w:t>
            </w:r>
          </w:p>
          <w:p w:rsidR="00CA794D" w:rsidRPr="00CA794D" w:rsidRDefault="00CA794D" w:rsidP="00CA794D">
            <w:pPr>
              <w:spacing w:line="276" w:lineRule="auto"/>
              <w:rPr>
                <w:rFonts w:ascii="Calibri" w:eastAsiaTheme="minorHAnsi" w:hAnsi="Calibri"/>
                <w:sz w:val="18"/>
                <w:szCs w:val="18"/>
              </w:rPr>
            </w:pPr>
            <w:r w:rsidRPr="00CA794D">
              <w:rPr>
                <w:sz w:val="18"/>
                <w:szCs w:val="18"/>
              </w:rPr>
              <w:t xml:space="preserve">Scholarships </w:t>
            </w:r>
            <w:proofErr w:type="spellStart"/>
            <w:r w:rsidRPr="00CA794D">
              <w:rPr>
                <w:sz w:val="18"/>
                <w:szCs w:val="18"/>
              </w:rPr>
              <w:t>totalling</w:t>
            </w:r>
            <w:proofErr w:type="spellEnd"/>
            <w:r w:rsidRPr="00CA794D">
              <w:rPr>
                <w:sz w:val="18"/>
                <w:szCs w:val="18"/>
              </w:rPr>
              <w:t xml:space="preserve"> $15,000 have been made available annually through a gift from Western Grains Research Foundation (WGRF) for outstanding graduate students in the Faculty of Land and Food Systems whose research focuses on field crops including barley, canola, lentil, pea, wheat, canary seed, chickpea, corn, fava bean, flax, mustard, oats, soybean, sunflower, or winter cereals. WGRF is a farmer-funded non-profit organization that was founded in 1981. WGRF supports field crop research in variety development and crop production based on the direction of and input from farmers. WGRF strives to grow research capacity in grains and to increase the number of professionals in western Canadian crop production. The scholarships are made on the recommendation of the Faculty of Land and Food Systems, in consultation with the Faculty of Graduate and Postdoctoral Studies. (First award available for the 2022/2023 winter session).</w:t>
            </w:r>
          </w:p>
        </w:tc>
      </w:tr>
    </w:tbl>
    <w:p w:rsidR="007C0DB0" w:rsidRPr="00B4037F" w:rsidRDefault="007C0DB0" w:rsidP="007C0DB0">
      <w:pPr>
        <w:spacing w:after="0"/>
        <w:rPr>
          <w:rFonts w:cs="Arial"/>
          <w:sz w:val="22"/>
          <w:szCs w:val="22"/>
        </w:rPr>
      </w:pPr>
    </w:p>
    <w:p w:rsidR="007C0DB0" w:rsidRPr="00620C89" w:rsidRDefault="007C0DB0" w:rsidP="007C0DB0">
      <w:pPr>
        <w:spacing w:after="0"/>
        <w:jc w:val="center"/>
        <w:rPr>
          <w:rFonts w:cs="Arial"/>
          <w:b/>
          <w:i/>
          <w:sz w:val="18"/>
          <w:szCs w:val="18"/>
        </w:rPr>
      </w:pPr>
      <w:r w:rsidRPr="00620C89">
        <w:rPr>
          <w:rFonts w:cs="Arial"/>
          <w:b/>
          <w:i/>
          <w:sz w:val="18"/>
          <w:szCs w:val="18"/>
        </w:rPr>
        <w:t xml:space="preserve">Final </w:t>
      </w:r>
      <w:r w:rsidR="005162EB" w:rsidRPr="00620C89">
        <w:rPr>
          <w:rFonts w:cs="Arial"/>
          <w:b/>
          <w:i/>
          <w:sz w:val="18"/>
          <w:szCs w:val="18"/>
        </w:rPr>
        <w:t>2022W</w:t>
      </w:r>
      <w:r w:rsidRPr="00620C89">
        <w:rPr>
          <w:rFonts w:cs="Arial"/>
          <w:b/>
          <w:i/>
          <w:sz w:val="18"/>
          <w:szCs w:val="18"/>
        </w:rPr>
        <w:t xml:space="preserve"> award values to be confirmed in July 202</w:t>
      </w:r>
      <w:r w:rsidR="005162EB" w:rsidRPr="00620C89">
        <w:rPr>
          <w:rFonts w:cs="Arial"/>
          <w:b/>
          <w:i/>
          <w:sz w:val="18"/>
          <w:szCs w:val="18"/>
        </w:rPr>
        <w:t>2</w:t>
      </w:r>
      <w:r w:rsidR="00427379">
        <w:rPr>
          <w:rFonts w:cs="Arial"/>
          <w:b/>
          <w:i/>
          <w:sz w:val="18"/>
          <w:szCs w:val="18"/>
        </w:rPr>
        <w:t>.  Individual award values are decided by the LFS Graduate Student Awards and Scholarships Committee</w:t>
      </w:r>
    </w:p>
    <w:p w:rsidR="00620C89" w:rsidRDefault="00620C89" w:rsidP="007C0DB0">
      <w:pPr>
        <w:jc w:val="center"/>
        <w:rPr>
          <w:rFonts w:cs="Arial"/>
          <w:b/>
          <w:sz w:val="24"/>
          <w:szCs w:val="24"/>
        </w:rPr>
      </w:pPr>
      <w:bookmarkStart w:id="0" w:name="_Hlk74304777"/>
    </w:p>
    <w:p w:rsidR="00CA794D" w:rsidRDefault="00CA794D" w:rsidP="007C0DB0">
      <w:pPr>
        <w:jc w:val="center"/>
        <w:rPr>
          <w:rFonts w:cs="Arial"/>
          <w:b/>
          <w:sz w:val="24"/>
          <w:szCs w:val="24"/>
        </w:rPr>
      </w:pPr>
    </w:p>
    <w:p w:rsidR="00CA794D" w:rsidRDefault="00CA794D" w:rsidP="007C0DB0">
      <w:pPr>
        <w:jc w:val="center"/>
        <w:rPr>
          <w:rFonts w:cs="Arial"/>
          <w:b/>
          <w:sz w:val="24"/>
          <w:szCs w:val="24"/>
        </w:rPr>
      </w:pPr>
    </w:p>
    <w:p w:rsidR="00CA794D" w:rsidRDefault="00CA794D" w:rsidP="007C0DB0">
      <w:pPr>
        <w:jc w:val="center"/>
        <w:rPr>
          <w:rFonts w:cs="Arial"/>
          <w:b/>
          <w:sz w:val="24"/>
          <w:szCs w:val="24"/>
        </w:rPr>
      </w:pPr>
    </w:p>
    <w:p w:rsidR="00CA794D" w:rsidRDefault="00CA794D" w:rsidP="00CA794D">
      <w:pPr>
        <w:rPr>
          <w:rFonts w:cs="Arial"/>
          <w:b/>
          <w:sz w:val="24"/>
          <w:szCs w:val="24"/>
        </w:rPr>
      </w:pPr>
      <w:bookmarkStart w:id="1" w:name="_GoBack"/>
      <w:bookmarkEnd w:id="1"/>
    </w:p>
    <w:p w:rsidR="007C0DB0" w:rsidRDefault="007C0DB0" w:rsidP="007C0DB0">
      <w:pPr>
        <w:jc w:val="center"/>
        <w:rPr>
          <w:rFonts w:cs="Arial"/>
          <w:b/>
          <w:sz w:val="24"/>
          <w:szCs w:val="24"/>
        </w:rPr>
      </w:pPr>
      <w:bookmarkStart w:id="2" w:name="_Hlk69839973"/>
      <w:r>
        <w:rPr>
          <w:rFonts w:cs="Arial"/>
          <w:b/>
          <w:sz w:val="24"/>
          <w:szCs w:val="24"/>
        </w:rPr>
        <w:lastRenderedPageBreak/>
        <w:t>Appendix II</w:t>
      </w:r>
    </w:p>
    <w:tbl>
      <w:tblPr>
        <w:tblW w:w="11246" w:type="dxa"/>
        <w:tblLook w:val="04A0" w:firstRow="1" w:lastRow="0" w:firstColumn="1" w:lastColumn="0" w:noHBand="0" w:noVBand="1"/>
      </w:tblPr>
      <w:tblGrid>
        <w:gridCol w:w="1487"/>
        <w:gridCol w:w="940"/>
        <w:gridCol w:w="256"/>
        <w:gridCol w:w="7847"/>
        <w:gridCol w:w="60"/>
        <w:gridCol w:w="201"/>
        <w:gridCol w:w="65"/>
        <w:gridCol w:w="390"/>
      </w:tblGrid>
      <w:tr w:rsidR="007C0DB0" w:rsidRPr="002C0E4C" w:rsidTr="002F400C">
        <w:trPr>
          <w:trHeight w:val="300"/>
        </w:trPr>
        <w:tc>
          <w:tcPr>
            <w:tcW w:w="10791" w:type="dxa"/>
            <w:gridSpan w:val="6"/>
            <w:tcBorders>
              <w:top w:val="nil"/>
              <w:left w:val="nil"/>
              <w:bottom w:val="nil"/>
              <w:right w:val="nil"/>
            </w:tcBorders>
            <w:shd w:val="clear" w:color="auto" w:fill="auto"/>
            <w:vAlign w:val="bottom"/>
          </w:tcPr>
          <w:p w:rsidR="007C0DB0" w:rsidRPr="002C0E4C" w:rsidRDefault="007C0DB0" w:rsidP="00A80C80">
            <w:pPr>
              <w:spacing w:after="0"/>
              <w:rPr>
                <w:rFonts w:ascii="Calibri" w:eastAsia="Times New Roman" w:hAnsi="Calibri" w:cs="Calibri"/>
                <w:color w:val="0563C1"/>
                <w:sz w:val="22"/>
                <w:szCs w:val="22"/>
                <w:u w:val="single"/>
                <w:lang w:val="en-CA" w:eastAsia="en-CA"/>
              </w:rPr>
            </w:pPr>
          </w:p>
        </w:tc>
        <w:tc>
          <w:tcPr>
            <w:tcW w:w="455" w:type="dxa"/>
            <w:gridSpan w:val="2"/>
            <w:tcBorders>
              <w:top w:val="nil"/>
              <w:left w:val="nil"/>
              <w:bottom w:val="nil"/>
              <w:right w:val="nil"/>
            </w:tcBorders>
            <w:shd w:val="clear" w:color="auto" w:fill="auto"/>
            <w:noWrap/>
            <w:vAlign w:val="bottom"/>
            <w:hideMark/>
          </w:tcPr>
          <w:p w:rsidR="007C0DB0" w:rsidRPr="002C0E4C" w:rsidRDefault="007C0DB0" w:rsidP="00A80C80">
            <w:pPr>
              <w:spacing w:after="0"/>
              <w:rPr>
                <w:rFonts w:ascii="Calibri" w:eastAsia="Times New Roman" w:hAnsi="Calibri" w:cs="Calibri"/>
                <w:color w:val="0563C1"/>
                <w:sz w:val="22"/>
                <w:szCs w:val="22"/>
                <w:u w:val="single"/>
                <w:lang w:val="en-CA" w:eastAsia="en-CA"/>
              </w:rPr>
            </w:pPr>
          </w:p>
        </w:tc>
      </w:tr>
      <w:tr w:rsidR="002F400C" w:rsidRPr="002C0E4C" w:rsidTr="002F400C">
        <w:trPr>
          <w:gridAfter w:val="4"/>
          <w:wAfter w:w="716" w:type="dxa"/>
          <w:trHeight w:val="900"/>
        </w:trPr>
        <w:tc>
          <w:tcPr>
            <w:tcW w:w="1487" w:type="dxa"/>
            <w:tcBorders>
              <w:top w:val="nil"/>
              <w:left w:val="nil"/>
              <w:bottom w:val="nil"/>
              <w:right w:val="nil"/>
            </w:tcBorders>
            <w:shd w:val="clear" w:color="auto" w:fill="auto"/>
            <w:vAlign w:val="bottom"/>
            <w:hideMark/>
          </w:tcPr>
          <w:p w:rsidR="002F400C" w:rsidRPr="002C0E4C" w:rsidRDefault="002F400C" w:rsidP="002F400C">
            <w:pPr>
              <w:spacing w:after="0"/>
              <w:rPr>
                <w:rFonts w:ascii="Times New Roman" w:eastAsia="Times New Roman" w:hAnsi="Times New Roman"/>
                <w:b/>
                <w:sz w:val="28"/>
                <w:szCs w:val="28"/>
                <w:highlight w:val="yellow"/>
                <w:lang w:val="en-CA" w:eastAsia="en-CA"/>
              </w:rPr>
            </w:pPr>
            <w:r w:rsidRPr="002C0E4C">
              <w:rPr>
                <w:rFonts w:ascii="Times New Roman" w:eastAsia="Times New Roman" w:hAnsi="Times New Roman"/>
                <w:b/>
                <w:sz w:val="28"/>
                <w:szCs w:val="28"/>
                <w:highlight w:val="yellow"/>
                <w:lang w:val="en-CA" w:eastAsia="en-CA"/>
              </w:rPr>
              <w:t>CGSD</w:t>
            </w:r>
          </w:p>
        </w:tc>
        <w:tc>
          <w:tcPr>
            <w:tcW w:w="940" w:type="dxa"/>
            <w:tcBorders>
              <w:top w:val="nil"/>
              <w:left w:val="nil"/>
              <w:bottom w:val="nil"/>
              <w:right w:val="nil"/>
            </w:tcBorders>
            <w:shd w:val="clear" w:color="auto" w:fill="auto"/>
            <w:noWrap/>
            <w:vAlign w:val="bottom"/>
            <w:hideMark/>
          </w:tcPr>
          <w:p w:rsidR="002F400C" w:rsidRPr="002C0E4C" w:rsidRDefault="002F400C" w:rsidP="002F400C">
            <w:pPr>
              <w:spacing w:after="0"/>
              <w:rPr>
                <w:rFonts w:ascii="Times New Roman" w:eastAsia="Times New Roman" w:hAnsi="Times New Roman"/>
                <w:lang w:val="en-CA" w:eastAsia="en-CA"/>
              </w:rPr>
            </w:pPr>
          </w:p>
        </w:tc>
        <w:tc>
          <w:tcPr>
            <w:tcW w:w="256" w:type="dxa"/>
            <w:tcBorders>
              <w:top w:val="nil"/>
              <w:left w:val="nil"/>
              <w:bottom w:val="nil"/>
              <w:right w:val="nil"/>
            </w:tcBorders>
            <w:shd w:val="clear" w:color="auto" w:fill="auto"/>
            <w:vAlign w:val="center"/>
            <w:hideMark/>
          </w:tcPr>
          <w:p w:rsidR="002F400C" w:rsidRPr="002C0E4C" w:rsidRDefault="002F400C" w:rsidP="002F400C">
            <w:pPr>
              <w:spacing w:after="0"/>
              <w:jc w:val="center"/>
              <w:rPr>
                <w:rFonts w:ascii="Calibri" w:eastAsia="Times New Roman" w:hAnsi="Calibri" w:cs="Calibri"/>
                <w:i/>
                <w:iCs/>
                <w:color w:val="000000"/>
                <w:sz w:val="22"/>
                <w:szCs w:val="22"/>
                <w:lang w:val="en-CA" w:eastAsia="en-CA"/>
              </w:rPr>
            </w:pPr>
          </w:p>
        </w:tc>
        <w:tc>
          <w:tcPr>
            <w:tcW w:w="7847" w:type="dxa"/>
            <w:tcBorders>
              <w:top w:val="nil"/>
              <w:left w:val="nil"/>
              <w:bottom w:val="nil"/>
              <w:right w:val="nil"/>
            </w:tcBorders>
            <w:shd w:val="clear" w:color="auto" w:fill="auto"/>
            <w:vAlign w:val="bottom"/>
            <w:hideMark/>
          </w:tcPr>
          <w:p w:rsidR="002F400C" w:rsidRPr="002C0E4C" w:rsidRDefault="00CA794D" w:rsidP="002F400C">
            <w:pPr>
              <w:spacing w:after="0"/>
              <w:rPr>
                <w:rFonts w:ascii="Calibri" w:eastAsia="Times New Roman" w:hAnsi="Calibri" w:cs="Calibri"/>
                <w:color w:val="0563C1"/>
                <w:sz w:val="22"/>
                <w:szCs w:val="22"/>
                <w:u w:val="single"/>
                <w:lang w:val="en-CA" w:eastAsia="en-CA"/>
              </w:rPr>
            </w:pPr>
            <w:hyperlink r:id="rId9" w:history="1">
              <w:r w:rsidR="002F400C" w:rsidRPr="002C0E4C">
                <w:rPr>
                  <w:rFonts w:ascii="Calibri" w:eastAsia="Times New Roman" w:hAnsi="Calibri" w:cs="Calibri"/>
                  <w:color w:val="0563C1"/>
                  <w:sz w:val="22"/>
                  <w:szCs w:val="22"/>
                  <w:u w:val="single"/>
                  <w:lang w:val="en-CA" w:eastAsia="en-CA"/>
                </w:rPr>
                <w:t>https://www.nserc-crsng.gc.ca/Students-Etudiants/PG-CS/CGSD-BESCD_eng.asp</w:t>
              </w:r>
            </w:hyperlink>
          </w:p>
        </w:tc>
      </w:tr>
      <w:tr w:rsidR="002F400C" w:rsidRPr="002C0E4C" w:rsidTr="002F400C">
        <w:trPr>
          <w:gridAfter w:val="3"/>
          <w:wAfter w:w="656" w:type="dxa"/>
          <w:trHeight w:val="630"/>
        </w:trPr>
        <w:tc>
          <w:tcPr>
            <w:tcW w:w="148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Criteria</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Weight</w:t>
            </w:r>
          </w:p>
        </w:tc>
        <w:tc>
          <w:tcPr>
            <w:tcW w:w="8163" w:type="dxa"/>
            <w:gridSpan w:val="3"/>
            <w:tcBorders>
              <w:top w:val="single" w:sz="4" w:space="0" w:color="auto"/>
              <w:left w:val="nil"/>
              <w:bottom w:val="single" w:sz="4" w:space="0" w:color="auto"/>
              <w:right w:val="single" w:sz="4" w:space="0" w:color="auto"/>
            </w:tcBorders>
            <w:shd w:val="clear" w:color="000000" w:fill="A6A6A6"/>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Description</w:t>
            </w:r>
          </w:p>
        </w:tc>
      </w:tr>
      <w:tr w:rsidR="002F400C" w:rsidRPr="002C0E4C" w:rsidTr="002F400C">
        <w:trPr>
          <w:gridAfter w:val="1"/>
          <w:wAfter w:w="390" w:type="dxa"/>
          <w:trHeight w:val="305"/>
        </w:trPr>
        <w:tc>
          <w:tcPr>
            <w:tcW w:w="1487" w:type="dxa"/>
            <w:vMerge w:val="restart"/>
            <w:tcBorders>
              <w:top w:val="single" w:sz="4" w:space="0" w:color="auto"/>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Research ability and potential</w:t>
            </w:r>
          </w:p>
        </w:tc>
        <w:tc>
          <w:tcPr>
            <w:tcW w:w="940" w:type="dxa"/>
            <w:vMerge w:val="restart"/>
            <w:tcBorders>
              <w:top w:val="single" w:sz="4" w:space="0" w:color="auto"/>
              <w:bottom w:val="single" w:sz="4" w:space="0" w:color="auto"/>
              <w:right w:val="single" w:sz="4" w:space="0" w:color="auto"/>
            </w:tcBorders>
            <w:shd w:val="clear" w:color="auto" w:fill="A8D08D" w:themeFill="accent6" w:themeFillTint="99"/>
            <w:noWrap/>
            <w:vAlign w:val="center"/>
            <w:hideMark/>
          </w:tcPr>
          <w:p w:rsidR="002F400C" w:rsidRPr="002C0E4C" w:rsidRDefault="002F400C" w:rsidP="002F400C">
            <w:pPr>
              <w:spacing w:after="0"/>
              <w:jc w:val="center"/>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50%</w:t>
            </w:r>
          </w:p>
        </w:tc>
        <w:tc>
          <w:tcPr>
            <w:tcW w:w="8163" w:type="dxa"/>
            <w:gridSpan w:val="3"/>
            <w:tcBorders>
              <w:top w:val="nil"/>
              <w:left w:val="single" w:sz="4" w:space="0" w:color="auto"/>
              <w:bottom w:val="single" w:sz="4" w:space="0" w:color="auto"/>
              <w:right w:val="nil"/>
            </w:tcBorders>
            <w:shd w:val="clear" w:color="auto" w:fill="A8D08D" w:themeFill="accent6" w:themeFillTint="99"/>
            <w:vAlign w:val="bottom"/>
            <w:hideMark/>
          </w:tcPr>
          <w:p w:rsidR="002F400C" w:rsidRPr="004E214B" w:rsidRDefault="002F400C" w:rsidP="002F400C">
            <w:pPr>
              <w:spacing w:after="0"/>
              <w:rPr>
                <w:rFonts w:ascii="Calibri" w:eastAsia="Times New Roman" w:hAnsi="Calibri" w:cs="Calibri"/>
                <w:b/>
                <w:bCs/>
                <w:i/>
                <w:color w:val="000000"/>
                <w:sz w:val="22"/>
                <w:szCs w:val="22"/>
                <w:lang w:val="en-CA" w:eastAsia="en-CA"/>
              </w:rPr>
            </w:pPr>
            <w:r w:rsidRPr="004E214B">
              <w:rPr>
                <w:rFonts w:ascii="Calibri" w:eastAsia="Times New Roman" w:hAnsi="Calibri" w:cs="Calibri"/>
                <w:b/>
                <w:bCs/>
                <w:i/>
                <w:color w:val="000000"/>
                <w:sz w:val="22"/>
                <w:szCs w:val="22"/>
                <w:lang w:val="en-CA" w:eastAsia="en-CA"/>
              </w:rPr>
              <w:t>Indicators of research ability and potential:</w:t>
            </w:r>
          </w:p>
        </w:tc>
        <w:tc>
          <w:tcPr>
            <w:tcW w:w="266" w:type="dxa"/>
            <w:gridSpan w:val="2"/>
            <w:tcBorders>
              <w:top w:val="nil"/>
              <w:left w:val="nil"/>
              <w:right w:val="nil"/>
            </w:tcBorders>
            <w:shd w:val="clear" w:color="auto" w:fill="auto"/>
            <w:noWrap/>
            <w:vAlign w:val="bottom"/>
            <w:hideMark/>
          </w:tcPr>
          <w:p w:rsidR="002F400C" w:rsidRPr="002C0E4C" w:rsidRDefault="002F400C" w:rsidP="002F400C">
            <w:pPr>
              <w:spacing w:after="0"/>
              <w:rPr>
                <w:rFonts w:ascii="Calibri" w:eastAsia="Times New Roman" w:hAnsi="Calibri" w:cs="Calibri"/>
                <w:color w:val="000000"/>
                <w:sz w:val="22"/>
                <w:szCs w:val="22"/>
                <w:lang w:val="en-CA" w:eastAsia="en-CA"/>
              </w:rPr>
            </w:pPr>
            <w:r w:rsidRPr="002C0E4C">
              <w:rPr>
                <w:rFonts w:ascii="Calibri" w:eastAsia="Times New Roman" w:hAnsi="Calibri" w:cs="Calibri"/>
                <w:color w:val="000000"/>
                <w:sz w:val="22"/>
                <w:szCs w:val="22"/>
                <w:lang w:val="en-CA" w:eastAsia="en-CA"/>
              </w:rPr>
              <w:t> </w:t>
            </w:r>
          </w:p>
        </w:tc>
      </w:tr>
      <w:tr w:rsidR="002F400C" w:rsidRPr="002C0E4C" w:rsidTr="002F400C">
        <w:trPr>
          <w:gridAfter w:val="3"/>
          <w:wAfter w:w="656" w:type="dxa"/>
          <w:trHeight w:val="98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b/>
                <w:color w:val="000000"/>
                <w:lang w:val="en-CA" w:eastAsia="en-CA"/>
              </w:rPr>
              <w:t>quality of research proposal:</w:t>
            </w:r>
            <w:r w:rsidRPr="002C0E4C">
              <w:rPr>
                <w:rFonts w:ascii="Calibri" w:eastAsia="Times New Roman" w:hAnsi="Calibri" w:cs="Calibri"/>
                <w:color w:val="000000"/>
                <w:lang w:val="en-CA" w:eastAsia="en-CA"/>
              </w:rPr>
              <w:br/>
              <w:t>-specific, focused and feasible research question(s) and</w:t>
            </w:r>
            <w:r>
              <w:rPr>
                <w:rFonts w:ascii="Calibri" w:eastAsia="Times New Roman" w:hAnsi="Calibri" w:cs="Calibri"/>
                <w:color w:val="000000"/>
                <w:lang w:val="en-CA" w:eastAsia="en-CA"/>
              </w:rPr>
              <w:t xml:space="preserve"> objective(s)</w:t>
            </w:r>
            <w:r w:rsidRPr="002C0E4C">
              <w:rPr>
                <w:rFonts w:ascii="Calibri" w:eastAsia="Times New Roman" w:hAnsi="Calibri" w:cs="Calibri"/>
                <w:color w:val="000000"/>
                <w:lang w:val="en-CA" w:eastAsia="en-CA"/>
              </w:rPr>
              <w:br/>
              <w:t>-clear description of the proposed methodology</w:t>
            </w:r>
            <w:r w:rsidRPr="002C0E4C">
              <w:rPr>
                <w:rFonts w:ascii="Calibri" w:eastAsia="Times New Roman" w:hAnsi="Calibri" w:cs="Calibri"/>
                <w:color w:val="000000"/>
                <w:lang w:val="en-CA" w:eastAsia="en-CA"/>
              </w:rPr>
              <w:br/>
              <w:t>-significance and expected contributions to research</w:t>
            </w:r>
          </w:p>
        </w:tc>
      </w:tr>
      <w:tr w:rsidR="002F400C" w:rsidRPr="002C0E4C" w:rsidTr="002F400C">
        <w:trPr>
          <w:gridAfter w:val="3"/>
          <w:wAfter w:w="656" w:type="dxa"/>
          <w:trHeight w:val="26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relevant training, such as academic training, lived experience and traditional teachings</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research experience and achievements relative to the applicant’s stage of study, lived experience and knowledge systems</w:t>
            </w:r>
          </w:p>
        </w:tc>
      </w:tr>
      <w:tr w:rsidR="002F400C" w:rsidRPr="002C0E4C" w:rsidTr="002F400C">
        <w:trPr>
          <w:gridAfter w:val="3"/>
          <w:wAfter w:w="656" w:type="dxa"/>
          <w:trHeight w:val="864"/>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quality of contributions and extent to which they advance the field of research. Contributions may include: publications, patents, reports, posters, abstracts, monographs, presentations, creative outputs, knowledge translation outputs, community products, etc.</w:t>
            </w:r>
          </w:p>
        </w:tc>
      </w:tr>
      <w:tr w:rsidR="002F400C" w:rsidRPr="002C0E4C" w:rsidTr="002F400C">
        <w:trPr>
          <w:gridAfter w:val="3"/>
          <w:wAfter w:w="656" w:type="dxa"/>
          <w:trHeight w:val="30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demonstration of sound judgment and ability to think critically</w:t>
            </w:r>
          </w:p>
        </w:tc>
      </w:tr>
      <w:tr w:rsidR="002F400C" w:rsidRPr="002C0E4C" w:rsidTr="002F400C">
        <w:trPr>
          <w:gridAfter w:val="3"/>
          <w:wAfter w:w="656" w:type="dxa"/>
          <w:trHeight w:val="71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demonstration of responsible and ethical research conduct, including honest and thoughtful inquiry, rigorous analysis, commitment to safety and to the dissemination of research results and adherence to the use of professional standards</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enthusiasm for research, originality, initiative, autonomy, relevant community involvement and outreach</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ability or potential to communicate theoretical, technical and/or scientific concepts clearly and logically in written and oral formats</w:t>
            </w:r>
          </w:p>
        </w:tc>
      </w:tr>
      <w:tr w:rsidR="002F400C" w:rsidRPr="002C0E4C" w:rsidTr="002F400C">
        <w:trPr>
          <w:gridAfter w:val="3"/>
          <w:wAfter w:w="656" w:type="dxa"/>
          <w:trHeight w:val="30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8D08D" w:themeFill="accent6" w:themeFillTint="99"/>
            <w:vAlign w:val="bottom"/>
            <w:hideMark/>
          </w:tcPr>
          <w:p w:rsidR="002F400C" w:rsidRPr="002C0E4C" w:rsidRDefault="002F400C" w:rsidP="002F400C">
            <w:pPr>
              <w:spacing w:after="0"/>
              <w:jc w:val="right"/>
              <w:rPr>
                <w:rFonts w:ascii="Calibri" w:eastAsia="Times New Roman" w:hAnsi="Calibri" w:cs="Calibri"/>
                <w:b/>
                <w:bCs/>
                <w:color w:val="000000"/>
                <w:lang w:val="en-CA" w:eastAsia="en-CA"/>
              </w:rPr>
            </w:pPr>
          </w:p>
        </w:tc>
      </w:tr>
      <w:tr w:rsidR="002F400C" w:rsidRPr="002C0E4C" w:rsidTr="002F400C">
        <w:trPr>
          <w:gridAfter w:val="3"/>
          <w:wAfter w:w="656" w:type="dxa"/>
          <w:trHeight w:val="600"/>
        </w:trPr>
        <w:tc>
          <w:tcPr>
            <w:tcW w:w="1487"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Relevant experience and achievements obtained within and beyond academia</w:t>
            </w:r>
          </w:p>
        </w:tc>
        <w:tc>
          <w:tcPr>
            <w:tcW w:w="940"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2F400C" w:rsidRPr="002C0E4C" w:rsidRDefault="002F400C" w:rsidP="002F400C">
            <w:pPr>
              <w:spacing w:after="0"/>
              <w:jc w:val="center"/>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50%</w:t>
            </w:r>
          </w:p>
        </w:tc>
        <w:tc>
          <w:tcPr>
            <w:tcW w:w="81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2F400C" w:rsidRPr="004E214B" w:rsidRDefault="002F400C" w:rsidP="002F400C">
            <w:pPr>
              <w:spacing w:after="0"/>
              <w:rPr>
                <w:rFonts w:ascii="Calibri" w:eastAsia="Times New Roman" w:hAnsi="Calibri" w:cs="Calibri"/>
                <w:b/>
                <w:bCs/>
                <w:i/>
                <w:color w:val="000000"/>
                <w:sz w:val="22"/>
                <w:szCs w:val="22"/>
                <w:lang w:val="en-CA" w:eastAsia="en-CA"/>
              </w:rPr>
            </w:pPr>
            <w:r w:rsidRPr="004E214B">
              <w:rPr>
                <w:rFonts w:ascii="Calibri" w:eastAsia="Times New Roman" w:hAnsi="Calibri" w:cs="Calibri"/>
                <w:b/>
                <w:bCs/>
                <w:i/>
                <w:color w:val="000000"/>
                <w:sz w:val="22"/>
                <w:szCs w:val="22"/>
                <w:lang w:val="en-CA" w:eastAsia="en-CA"/>
              </w:rPr>
              <w:t>Indicators of relevant experience and achievements obtained within and beyond academia:</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scholarships, awards and distinctions (amount, duration and prestige)</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b/>
                <w:bCs/>
                <w:color w:val="000000"/>
                <w:lang w:val="en-CA" w:eastAsia="en-CA"/>
              </w:rPr>
            </w:pPr>
            <w:r w:rsidRPr="002C0E4C">
              <w:rPr>
                <w:rFonts w:ascii="Calibri" w:eastAsia="Times New Roman" w:hAnsi="Calibri" w:cs="Calibri"/>
                <w:b/>
                <w:bCs/>
                <w:color w:val="000000"/>
                <w:lang w:val="en-CA" w:eastAsia="en-CA"/>
              </w:rPr>
              <w:t>Academic record: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transcripts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duration of previous studies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program requirements and courses pursued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course load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relative standing in program (if available)</w:t>
            </w:r>
          </w:p>
        </w:tc>
      </w:tr>
      <w:tr w:rsidR="002F400C" w:rsidRPr="002C0E4C" w:rsidTr="002F400C">
        <w:trPr>
          <w:gridAfter w:val="3"/>
          <w:wAfter w:w="656" w:type="dxa"/>
          <w:trHeight w:val="548"/>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b/>
                <w:bCs/>
                <w:color w:val="000000"/>
                <w:lang w:val="en-CA" w:eastAsia="en-CA"/>
              </w:rPr>
            </w:pPr>
            <w:r w:rsidRPr="002C0E4C">
              <w:rPr>
                <w:rFonts w:ascii="Calibri" w:eastAsia="Times New Roman" w:hAnsi="Calibri" w:cs="Calibri"/>
                <w:b/>
                <w:bCs/>
                <w:color w:val="000000"/>
                <w:lang w:val="en-CA" w:eastAsia="en-CA"/>
              </w:rPr>
              <w:t>Professional, academic and extracurricular activities as well as collaborations with supervisors, colleagues, peers, students and members of the community, such as: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teaching, mentoring, supervising and/or coaching</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managing projects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in science and/or research promotion</w:t>
            </w:r>
          </w:p>
        </w:tc>
      </w:tr>
      <w:tr w:rsidR="002F400C" w:rsidRPr="002C0E4C" w:rsidTr="002F400C">
        <w:trPr>
          <w:gridAfter w:val="3"/>
          <w:wAfter w:w="656" w:type="dxa"/>
          <w:trHeight w:val="26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community outreach, volunteer work and/or civic engagement</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chairing committees and/or organizing conferences and meetings</w:t>
            </w:r>
          </w:p>
        </w:tc>
      </w:tr>
      <w:tr w:rsidR="002F400C" w:rsidRPr="002C0E4C" w:rsidTr="002F400C">
        <w:trPr>
          <w:gridAfter w:val="3"/>
          <w:wAfter w:w="656" w:type="dxa"/>
          <w:trHeight w:val="302"/>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in departmental or institutional organizations, associations, societies and/or club</w:t>
            </w:r>
            <w:r>
              <w:rPr>
                <w:rFonts w:ascii="Calibri" w:eastAsia="Times New Roman" w:hAnsi="Calibri" w:cs="Calibri"/>
                <w:color w:val="000000"/>
                <w:lang w:val="en-CA" w:eastAsia="en-CA"/>
              </w:rPr>
              <w:t>s</w:t>
            </w:r>
          </w:p>
        </w:tc>
      </w:tr>
      <w:tr w:rsidR="002F400C" w:rsidRPr="007C09C4" w:rsidTr="002F400C">
        <w:trPr>
          <w:gridAfter w:val="3"/>
          <w:wAfter w:w="656" w:type="dxa"/>
          <w:trHeight w:val="289"/>
        </w:trPr>
        <w:tc>
          <w:tcPr>
            <w:tcW w:w="1487" w:type="dxa"/>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color w:val="000000"/>
                <w:sz w:val="22"/>
                <w:szCs w:val="22"/>
                <w:lang w:val="en-CA" w:eastAsia="en-CA"/>
              </w:rPr>
            </w:pPr>
          </w:p>
        </w:tc>
        <w:tc>
          <w:tcPr>
            <w:tcW w:w="940" w:type="dxa"/>
            <w:tcBorders>
              <w:top w:val="single" w:sz="4" w:space="0" w:color="auto"/>
              <w:bottom w:val="single" w:sz="4" w:space="0" w:color="auto"/>
            </w:tcBorders>
            <w:shd w:val="clear" w:color="auto" w:fill="C9C9C9" w:themeFill="accent3" w:themeFillTint="99"/>
            <w:noWrap/>
            <w:vAlign w:val="center"/>
            <w:hideMark/>
          </w:tcPr>
          <w:p w:rsidR="002F400C" w:rsidRPr="002C0E4C" w:rsidRDefault="002F400C" w:rsidP="002F400C">
            <w:pPr>
              <w:spacing w:after="0"/>
              <w:jc w:val="center"/>
              <w:rPr>
                <w:rFonts w:ascii="Calibri" w:eastAsia="Times New Roman" w:hAnsi="Calibri" w:cs="Calibri"/>
                <w:b/>
                <w:color w:val="000000"/>
                <w:sz w:val="22"/>
                <w:szCs w:val="22"/>
                <w:lang w:val="en-CA" w:eastAsia="en-CA"/>
              </w:rPr>
            </w:pPr>
            <w:r w:rsidRPr="002C0E4C">
              <w:rPr>
                <w:rFonts w:ascii="Calibri" w:eastAsia="Times New Roman" w:hAnsi="Calibri" w:cs="Calibri"/>
                <w:b/>
                <w:color w:val="000000"/>
                <w:sz w:val="22"/>
                <w:szCs w:val="22"/>
                <w:lang w:val="en-CA" w:eastAsia="en-CA"/>
              </w:rPr>
              <w:t> </w:t>
            </w:r>
          </w:p>
        </w:tc>
        <w:tc>
          <w:tcPr>
            <w:tcW w:w="8163" w:type="dxa"/>
            <w:gridSpan w:val="3"/>
            <w:tcBorders>
              <w:top w:val="single" w:sz="4" w:space="0" w:color="auto"/>
              <w:bottom w:val="single" w:sz="4" w:space="0" w:color="auto"/>
              <w:right w:val="single" w:sz="4" w:space="0" w:color="auto"/>
            </w:tcBorders>
            <w:shd w:val="clear" w:color="auto" w:fill="C9C9C9" w:themeFill="accent3" w:themeFillTint="99"/>
            <w:vAlign w:val="bottom"/>
            <w:hideMark/>
          </w:tcPr>
          <w:p w:rsidR="002F400C" w:rsidRPr="002C0E4C" w:rsidRDefault="002F400C" w:rsidP="002F400C">
            <w:pPr>
              <w:spacing w:after="0"/>
              <w:jc w:val="right"/>
              <w:rPr>
                <w:rFonts w:ascii="Calibri" w:eastAsia="Times New Roman" w:hAnsi="Calibri" w:cs="Calibri"/>
                <w:b/>
                <w:bCs/>
                <w:color w:val="000000"/>
                <w:lang w:val="en-CA" w:eastAsia="en-CA"/>
              </w:rPr>
            </w:pPr>
          </w:p>
        </w:tc>
      </w:tr>
    </w:tbl>
    <w:p w:rsidR="007C0DB0" w:rsidRDefault="007C0DB0" w:rsidP="007C0DB0">
      <w:pPr>
        <w:ind w:right="180"/>
        <w:jc w:val="center"/>
        <w:rPr>
          <w:rFonts w:cs="Arial"/>
          <w:b/>
          <w:sz w:val="24"/>
          <w:szCs w:val="24"/>
        </w:rPr>
      </w:pPr>
    </w:p>
    <w:tbl>
      <w:tblPr>
        <w:tblW w:w="10510" w:type="dxa"/>
        <w:tblInd w:w="90" w:type="dxa"/>
        <w:tblLook w:val="04A0" w:firstRow="1" w:lastRow="0" w:firstColumn="1" w:lastColumn="0" w:noHBand="0" w:noVBand="1"/>
      </w:tblPr>
      <w:tblGrid>
        <w:gridCol w:w="1531"/>
        <w:gridCol w:w="1619"/>
        <w:gridCol w:w="7360"/>
      </w:tblGrid>
      <w:tr w:rsidR="002F400C" w:rsidRPr="007C09C4" w:rsidTr="002F400C">
        <w:trPr>
          <w:trHeight w:val="934"/>
        </w:trPr>
        <w:tc>
          <w:tcPr>
            <w:tcW w:w="1531" w:type="dxa"/>
            <w:tcBorders>
              <w:top w:val="nil"/>
              <w:left w:val="nil"/>
              <w:bottom w:val="nil"/>
              <w:right w:val="nil"/>
            </w:tcBorders>
            <w:shd w:val="clear" w:color="auto" w:fill="auto"/>
            <w:vAlign w:val="bottom"/>
            <w:hideMark/>
          </w:tcPr>
          <w:p w:rsidR="002F400C" w:rsidRPr="007C09C4" w:rsidRDefault="002F400C" w:rsidP="00A80C80">
            <w:pPr>
              <w:spacing w:after="0"/>
              <w:rPr>
                <w:rFonts w:ascii="Calibri" w:eastAsia="Times New Roman" w:hAnsi="Calibri" w:cs="Calibri"/>
                <w:b/>
                <w:bCs/>
                <w:color w:val="000000"/>
                <w:sz w:val="22"/>
                <w:szCs w:val="22"/>
                <w:lang w:val="en-CA" w:eastAsia="en-CA"/>
              </w:rPr>
            </w:pPr>
            <w:r w:rsidRPr="002C0E4C">
              <w:rPr>
                <w:rFonts w:ascii="Times New Roman" w:eastAsia="Times New Roman" w:hAnsi="Times New Roman"/>
                <w:b/>
                <w:sz w:val="28"/>
                <w:szCs w:val="28"/>
                <w:highlight w:val="yellow"/>
                <w:lang w:val="en-CA" w:eastAsia="en-CA"/>
              </w:rPr>
              <w:lastRenderedPageBreak/>
              <w:t>CGS</w:t>
            </w:r>
            <w:r>
              <w:rPr>
                <w:rFonts w:ascii="Times New Roman" w:eastAsia="Times New Roman" w:hAnsi="Times New Roman"/>
                <w:b/>
                <w:sz w:val="28"/>
                <w:szCs w:val="28"/>
                <w:highlight w:val="yellow"/>
                <w:lang w:val="en-CA" w:eastAsia="en-CA"/>
              </w:rPr>
              <w:t>M</w:t>
            </w:r>
          </w:p>
        </w:tc>
        <w:tc>
          <w:tcPr>
            <w:tcW w:w="1619" w:type="dxa"/>
            <w:tcBorders>
              <w:top w:val="nil"/>
              <w:left w:val="nil"/>
              <w:bottom w:val="nil"/>
              <w:right w:val="nil"/>
            </w:tcBorders>
            <w:shd w:val="clear" w:color="auto" w:fill="auto"/>
            <w:noWrap/>
            <w:vAlign w:val="bottom"/>
            <w:hideMark/>
          </w:tcPr>
          <w:p w:rsidR="002F400C" w:rsidRPr="007C09C4" w:rsidRDefault="002F400C" w:rsidP="002F400C">
            <w:pPr>
              <w:spacing w:after="0"/>
              <w:rPr>
                <w:rFonts w:ascii="Calibri" w:eastAsia="Times New Roman" w:hAnsi="Calibri" w:cs="Calibri"/>
                <w:b/>
                <w:bCs/>
                <w:color w:val="000000"/>
                <w:sz w:val="22"/>
                <w:szCs w:val="22"/>
                <w:lang w:val="en-CA" w:eastAsia="en-CA"/>
              </w:rPr>
            </w:pPr>
          </w:p>
        </w:tc>
        <w:tc>
          <w:tcPr>
            <w:tcW w:w="7360" w:type="dxa"/>
            <w:tcBorders>
              <w:top w:val="nil"/>
              <w:left w:val="nil"/>
              <w:bottom w:val="nil"/>
              <w:right w:val="nil"/>
            </w:tcBorders>
            <w:shd w:val="clear" w:color="auto" w:fill="auto"/>
            <w:vAlign w:val="bottom"/>
            <w:hideMark/>
          </w:tcPr>
          <w:p w:rsidR="002F400C" w:rsidRPr="002F400C" w:rsidRDefault="00CA794D" w:rsidP="002F400C">
            <w:pPr>
              <w:spacing w:after="0"/>
              <w:rPr>
                <w:rFonts w:ascii="Calibri" w:eastAsia="Times New Roman" w:hAnsi="Calibri" w:cs="Calibri"/>
                <w:color w:val="0563C1"/>
                <w:sz w:val="22"/>
                <w:szCs w:val="22"/>
                <w:u w:val="single"/>
                <w:lang w:val="en-CA" w:eastAsia="en-CA"/>
              </w:rPr>
            </w:pPr>
            <w:hyperlink r:id="rId10" w:history="1">
              <w:r w:rsidR="002F400C" w:rsidRPr="007C09C4">
                <w:rPr>
                  <w:rFonts w:ascii="Calibri" w:eastAsia="Times New Roman" w:hAnsi="Calibri" w:cs="Calibri"/>
                  <w:color w:val="0563C1"/>
                  <w:sz w:val="22"/>
                  <w:szCs w:val="22"/>
                  <w:u w:val="single"/>
                  <w:lang w:val="en-CA" w:eastAsia="en-CA"/>
                </w:rPr>
                <w:t>https://www.nserc-crsng.gc.ca/students-etudiants/pg-cs/cgsm-bescm_eng.asp</w:t>
              </w:r>
            </w:hyperlink>
          </w:p>
        </w:tc>
      </w:tr>
      <w:tr w:rsidR="007C0DB0" w:rsidRPr="007C09C4" w:rsidTr="002F400C">
        <w:trPr>
          <w:trHeight w:val="630"/>
        </w:trPr>
        <w:tc>
          <w:tcPr>
            <w:tcW w:w="15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Criteria</w:t>
            </w:r>
          </w:p>
        </w:tc>
        <w:tc>
          <w:tcPr>
            <w:tcW w:w="1619" w:type="dxa"/>
            <w:tcBorders>
              <w:top w:val="single" w:sz="4" w:space="0" w:color="auto"/>
              <w:left w:val="nil"/>
              <w:bottom w:val="single" w:sz="4" w:space="0" w:color="auto"/>
              <w:right w:val="single" w:sz="4" w:space="0" w:color="auto"/>
            </w:tcBorders>
            <w:shd w:val="clear" w:color="000000" w:fill="A6A6A6"/>
            <w:noWrap/>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Weight</w:t>
            </w:r>
          </w:p>
        </w:tc>
        <w:tc>
          <w:tcPr>
            <w:tcW w:w="7360" w:type="dxa"/>
            <w:tcBorders>
              <w:top w:val="nil"/>
              <w:left w:val="nil"/>
              <w:bottom w:val="single" w:sz="4" w:space="0" w:color="auto"/>
              <w:right w:val="single" w:sz="4" w:space="0" w:color="auto"/>
            </w:tcBorders>
            <w:shd w:val="clear" w:color="000000" w:fill="A6A6A6"/>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Description</w:t>
            </w:r>
          </w:p>
        </w:tc>
      </w:tr>
      <w:tr w:rsidR="007C0DB0" w:rsidRPr="007C09C4" w:rsidTr="002F400C">
        <w:trPr>
          <w:trHeight w:val="600"/>
        </w:trPr>
        <w:tc>
          <w:tcPr>
            <w:tcW w:w="1531"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Academic excellence</w:t>
            </w:r>
          </w:p>
        </w:tc>
        <w:tc>
          <w:tcPr>
            <w:tcW w:w="1619"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50%</w:t>
            </w: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rPr>
                <w:rFonts w:ascii="Calibri" w:eastAsia="Times New Roman" w:hAnsi="Calibri" w:cs="Calibri"/>
                <w:b/>
                <w:bCs/>
                <w:i/>
                <w:iCs/>
                <w:color w:val="000000"/>
                <w:sz w:val="22"/>
                <w:szCs w:val="22"/>
                <w:lang w:val="en-CA" w:eastAsia="en-CA"/>
              </w:rPr>
            </w:pPr>
            <w:r w:rsidRPr="007C09C4">
              <w:rPr>
                <w:rFonts w:ascii="Calibri" w:eastAsia="Times New Roman" w:hAnsi="Calibri" w:cs="Calibri"/>
                <w:b/>
                <w:bCs/>
                <w:i/>
                <w:iCs/>
                <w:color w:val="000000"/>
                <w:sz w:val="22"/>
                <w:szCs w:val="22"/>
                <w:lang w:val="en-CA" w:eastAsia="en-CA"/>
              </w:rPr>
              <w:t>As demonstrated by past academic results, transcripts, awards and distinctions.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academic excellence: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academic record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scholarships and awards held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duration of previous studies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type of program and courses pursued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course load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relative standing (if available)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tr w:rsidR="007C0DB0" w:rsidRPr="007C09C4" w:rsidTr="002F400C">
        <w:trPr>
          <w:trHeight w:val="782"/>
        </w:trPr>
        <w:tc>
          <w:tcPr>
            <w:tcW w:w="1531" w:type="dxa"/>
            <w:vMerge w:val="restart"/>
            <w:tcBorders>
              <w:top w:val="single" w:sz="4" w:space="0" w:color="auto"/>
              <w:left w:val="single" w:sz="4" w:space="0" w:color="auto"/>
              <w:bottom w:val="single" w:sz="4" w:space="0" w:color="auto"/>
            </w:tcBorders>
            <w:shd w:val="clear" w:color="auto" w:fill="A8D08D" w:themeFill="accent6"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Research potential</w:t>
            </w:r>
          </w:p>
        </w:tc>
        <w:tc>
          <w:tcPr>
            <w:tcW w:w="1619" w:type="dxa"/>
            <w:vMerge w:val="restart"/>
            <w:tcBorders>
              <w:top w:val="single" w:sz="4" w:space="0" w:color="auto"/>
              <w:bottom w:val="single" w:sz="4" w:space="0" w:color="auto"/>
              <w:right w:val="single" w:sz="4" w:space="0" w:color="auto"/>
            </w:tcBorders>
            <w:shd w:val="clear" w:color="auto" w:fill="A8D08D" w:themeFill="accent6"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30%</w:t>
            </w:r>
          </w:p>
        </w:tc>
        <w:tc>
          <w:tcPr>
            <w:tcW w:w="73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C0DB0" w:rsidRPr="007C09C4" w:rsidRDefault="007C0DB0" w:rsidP="00A80C80">
            <w:pPr>
              <w:spacing w:after="0"/>
              <w:rPr>
                <w:rFonts w:ascii="Calibri" w:eastAsia="Times New Roman" w:hAnsi="Calibri" w:cs="Calibri"/>
                <w:b/>
                <w:bCs/>
                <w:i/>
                <w:iCs/>
                <w:color w:val="000000"/>
                <w:sz w:val="22"/>
                <w:szCs w:val="22"/>
                <w:lang w:val="en-CA" w:eastAsia="en-CA"/>
              </w:rPr>
            </w:pPr>
            <w:r w:rsidRPr="007C09C4">
              <w:rPr>
                <w:rFonts w:ascii="Calibri" w:eastAsia="Times New Roman" w:hAnsi="Calibri" w:cs="Calibri"/>
                <w:b/>
                <w:bCs/>
                <w:i/>
                <w:iCs/>
                <w:color w:val="000000"/>
                <w:sz w:val="22"/>
                <w:szCs w:val="22"/>
                <w:lang w:val="en-CA" w:eastAsia="en-CA"/>
              </w:rPr>
              <w:t>As demonstrated by the applicant’s research history, their interest in discovery, the proposed research, its potential contribution to the advancement of knowledge in the field, and any anticipated</w:t>
            </w:r>
            <w:r>
              <w:rPr>
                <w:rFonts w:ascii="Calibri" w:eastAsia="Times New Roman" w:hAnsi="Calibri" w:cs="Calibri"/>
                <w:b/>
                <w:bCs/>
                <w:i/>
                <w:iCs/>
                <w:color w:val="000000"/>
                <w:sz w:val="22"/>
                <w:szCs w:val="22"/>
                <w:lang w:val="en-CA" w:eastAsia="en-CA"/>
              </w:rPr>
              <w:t xml:space="preserve"> </w:t>
            </w:r>
            <w:r w:rsidRPr="007C09C4">
              <w:rPr>
                <w:rFonts w:ascii="Calibri" w:eastAsia="Times New Roman" w:hAnsi="Calibri" w:cs="Calibri"/>
                <w:b/>
                <w:bCs/>
                <w:i/>
                <w:iCs/>
                <w:color w:val="000000"/>
                <w:sz w:val="22"/>
                <w:szCs w:val="22"/>
                <w:lang w:val="en-CA" w:eastAsia="en-CA"/>
              </w:rPr>
              <w:t>outcomes.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research potential: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quality and originality of contributions to research and development</w:t>
            </w:r>
          </w:p>
        </w:tc>
      </w:tr>
      <w:tr w:rsidR="007C0DB0" w:rsidRPr="007C09C4" w:rsidTr="002F400C">
        <w:trPr>
          <w:trHeight w:val="305"/>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relevance of work experience and academic training to field of proposed research</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significance, feasibility and merit of proposed research</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judgment and ability to think critically</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ability to apply skills and knowledge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initiative and autonomy</w:t>
            </w:r>
          </w:p>
        </w:tc>
      </w:tr>
      <w:tr w:rsidR="007C0DB0" w:rsidRPr="007C09C4" w:rsidTr="002F400C">
        <w:trPr>
          <w:trHeight w:val="525"/>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research experience and achievements relative to expectations of someone with the candidate’s academic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tr w:rsidR="007C0DB0" w:rsidRPr="007C09C4" w:rsidTr="002F400C">
        <w:trPr>
          <w:trHeight w:val="600"/>
        </w:trPr>
        <w:tc>
          <w:tcPr>
            <w:tcW w:w="1531"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Personal characteristics and interpersonal skills</w:t>
            </w:r>
          </w:p>
        </w:tc>
        <w:tc>
          <w:tcPr>
            <w:tcW w:w="1619"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20%</w:t>
            </w: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FB344F" w:rsidRDefault="007C0DB0" w:rsidP="00A80C80">
            <w:pPr>
              <w:spacing w:after="0"/>
              <w:rPr>
                <w:rFonts w:ascii="Calibri" w:eastAsia="Times New Roman" w:hAnsi="Calibri" w:cs="Calibri"/>
                <w:b/>
                <w:bCs/>
                <w:i/>
                <w:iCs/>
                <w:color w:val="000000"/>
                <w:sz w:val="22"/>
                <w:szCs w:val="22"/>
                <w:lang w:val="en-CA" w:eastAsia="en-CA"/>
              </w:rPr>
            </w:pPr>
            <w:r w:rsidRPr="00FB344F">
              <w:rPr>
                <w:rFonts w:ascii="Calibri" w:eastAsia="Times New Roman" w:hAnsi="Calibri" w:cs="Calibri"/>
                <w:b/>
                <w:bCs/>
                <w:i/>
                <w:iCs/>
                <w:color w:val="000000"/>
                <w:sz w:val="22"/>
                <w:szCs w:val="22"/>
                <w:lang w:val="en-CA" w:eastAsia="en-CA"/>
              </w:rPr>
              <w:t xml:space="preserve">As demonstrated by the applicant’s past professional and relevant extracurricular interactions and collaborations.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personal characteristics and interpersonal skills: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work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leadership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project management including organizing conferences and meetings</w:t>
            </w:r>
          </w:p>
        </w:tc>
      </w:tr>
      <w:tr w:rsidR="007C0DB0" w:rsidRPr="007C09C4" w:rsidTr="002F400C">
        <w:trPr>
          <w:trHeight w:val="525"/>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ability or potential to communicate theoretical, technical and/or scientific concepts clearly and logically in written and oral formats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involvement in academic life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volunteerism/community outreach</w:t>
            </w:r>
          </w:p>
        </w:tc>
      </w:tr>
      <w:tr w:rsidR="007C0DB0" w:rsidRPr="007C09C4" w:rsidTr="002F400C">
        <w:trPr>
          <w:trHeight w:val="315"/>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bookmarkEnd w:id="0"/>
      <w:bookmarkEnd w:id="2"/>
    </w:tbl>
    <w:p w:rsidR="007C0DB0" w:rsidRDefault="007C0DB0" w:rsidP="007C0DB0">
      <w:pPr>
        <w:rPr>
          <w:rFonts w:cs="Arial"/>
          <w:color w:val="000000" w:themeColor="text1"/>
        </w:rPr>
      </w:pPr>
    </w:p>
    <w:p w:rsidR="007C0DB0" w:rsidRDefault="007C0DB0" w:rsidP="007C0DB0">
      <w:pPr>
        <w:rPr>
          <w:rFonts w:cs="Arial"/>
          <w:color w:val="000000" w:themeColor="text1"/>
        </w:rPr>
      </w:pPr>
    </w:p>
    <w:p w:rsidR="007C0DB0" w:rsidRDefault="007C0DB0" w:rsidP="007C0DB0">
      <w:pPr>
        <w:rPr>
          <w:rFonts w:cs="Arial"/>
          <w:color w:val="000000" w:themeColor="text1"/>
        </w:rPr>
      </w:pPr>
    </w:p>
    <w:p w:rsidR="007C0DB0" w:rsidRPr="003D3211" w:rsidRDefault="007C0DB0" w:rsidP="002F400C">
      <w:pPr>
        <w:ind w:right="450"/>
        <w:jc w:val="center"/>
        <w:rPr>
          <w:rFonts w:cs="Arial"/>
          <w:b/>
          <w:i/>
        </w:rPr>
      </w:pPr>
      <w:r w:rsidRPr="003D3211">
        <w:rPr>
          <w:rFonts w:cs="Arial"/>
          <w:b/>
          <w:i/>
        </w:rPr>
        <w:t>Any Questions?  Please contact:</w:t>
      </w:r>
    </w:p>
    <w:p w:rsidR="007C0DB0" w:rsidRPr="00D5559F" w:rsidRDefault="007C0DB0" w:rsidP="002F400C">
      <w:pPr>
        <w:jc w:val="center"/>
        <w:rPr>
          <w:rFonts w:cs="Arial"/>
          <w:color w:val="000000" w:themeColor="text1"/>
        </w:rPr>
      </w:pPr>
      <w:r w:rsidRPr="003D3211">
        <w:rPr>
          <w:rFonts w:cs="Arial"/>
        </w:rPr>
        <w:t xml:space="preserve">E-mail:  </w:t>
      </w:r>
      <w:hyperlink r:id="rId11" w:history="1">
        <w:r w:rsidRPr="003D3211">
          <w:rPr>
            <w:rFonts w:cs="Arial"/>
            <w:b/>
            <w:color w:val="0000FF"/>
            <w:u w:val="single"/>
          </w:rPr>
          <w:t>lfs.gradmgr@ubc.ca</w:t>
        </w:r>
      </w:hyperlink>
      <w:r w:rsidRPr="003D3211">
        <w:rPr>
          <w:rFonts w:cs="Arial"/>
          <w:b/>
        </w:rPr>
        <w:t xml:space="preserve">  </w:t>
      </w:r>
    </w:p>
    <w:p w:rsidR="0055505C" w:rsidRDefault="00CA794D" w:rsidP="002F400C">
      <w:pPr>
        <w:jc w:val="center"/>
      </w:pPr>
    </w:p>
    <w:sectPr w:rsidR="0055505C" w:rsidSect="007C0DB0">
      <w:footerReference w:type="default" r:id="rId12"/>
      <w:headerReference w:type="first" r:id="rId13"/>
      <w:footerReference w:type="first" r:id="rId14"/>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6D" w:rsidRDefault="002F400C">
      <w:pPr>
        <w:spacing w:after="0"/>
      </w:pPr>
      <w:r>
        <w:separator/>
      </w:r>
    </w:p>
  </w:endnote>
  <w:endnote w:type="continuationSeparator" w:id="0">
    <w:p w:rsidR="007C1B6D" w:rsidRDefault="002F4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Default="00CA794D" w:rsidP="005F5A39">
    <w:pPr>
      <w:pStyle w:val="Footer"/>
      <w:tabs>
        <w:tab w:val="clear" w:pos="8640"/>
        <w:tab w:val="right" w:pos="9090"/>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Default="007C0DB0">
    <w:pPr>
      <w:pStyle w:val="Footer"/>
      <w:rPr>
        <w:rFonts w:ascii="Verdana" w:hAnsi="Verdana"/>
        <w:sz w:val="18"/>
        <w:lang w:val="en-CA"/>
      </w:rPr>
    </w:pPr>
    <w:r w:rsidRPr="00FD02D4">
      <w:rPr>
        <w:rFonts w:ascii="Verdana" w:hAnsi="Verdana"/>
        <w:sz w:val="18"/>
        <w:lang w:val="en-CA"/>
      </w:rPr>
      <w:tab/>
    </w:r>
  </w:p>
  <w:p w:rsidR="00527CBE" w:rsidRDefault="00CA794D">
    <w:pPr>
      <w:pStyle w:val="Footer"/>
      <w:rPr>
        <w:rFonts w:ascii="Verdana" w:hAnsi="Verdana"/>
        <w:sz w:val="18"/>
        <w:lang w:val="en-CA"/>
      </w:rPr>
    </w:pPr>
  </w:p>
  <w:p w:rsidR="00527CBE" w:rsidRDefault="007C0DB0"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FD21BD">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FD21BD">
      <w:rPr>
        <w:noProof/>
        <w:lang w:val="en-CA"/>
      </w:rPr>
      <w:t>4</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6D" w:rsidRDefault="002F400C">
      <w:pPr>
        <w:spacing w:after="0"/>
      </w:pPr>
      <w:r>
        <w:separator/>
      </w:r>
    </w:p>
  </w:footnote>
  <w:footnote w:type="continuationSeparator" w:id="0">
    <w:p w:rsidR="007C1B6D" w:rsidRDefault="002F40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Pr="005B2F28" w:rsidRDefault="00CA794D"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A2CF5"/>
    <w:multiLevelType w:val="hybridMultilevel"/>
    <w:tmpl w:val="B990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302694"/>
    <w:multiLevelType w:val="hybridMultilevel"/>
    <w:tmpl w:val="55422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4"/>
  </w:num>
  <w:num w:numId="4">
    <w:abstractNumId w:val="3"/>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c1sjSwMDUxszBW0lEKTi0uzszPAykwqQUAwxtAICwAAAA="/>
  </w:docVars>
  <w:rsids>
    <w:rsidRoot w:val="00210010"/>
    <w:rsid w:val="00087EC3"/>
    <w:rsid w:val="00125B92"/>
    <w:rsid w:val="00197AB2"/>
    <w:rsid w:val="001B592C"/>
    <w:rsid w:val="00210010"/>
    <w:rsid w:val="00267571"/>
    <w:rsid w:val="002F400C"/>
    <w:rsid w:val="003853F3"/>
    <w:rsid w:val="00427379"/>
    <w:rsid w:val="005162EB"/>
    <w:rsid w:val="00620C89"/>
    <w:rsid w:val="006571BA"/>
    <w:rsid w:val="006615E2"/>
    <w:rsid w:val="007C0DB0"/>
    <w:rsid w:val="007C1B6D"/>
    <w:rsid w:val="0090696B"/>
    <w:rsid w:val="009D4D0A"/>
    <w:rsid w:val="00A77A8F"/>
    <w:rsid w:val="00CA794D"/>
    <w:rsid w:val="00CD7200"/>
    <w:rsid w:val="00F1491C"/>
    <w:rsid w:val="00F5112A"/>
    <w:rsid w:val="00FB0F12"/>
    <w:rsid w:val="00FD2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3355"/>
  <w15:chartTrackingRefBased/>
  <w15:docId w15:val="{34F5BECD-AEF8-479A-8DB8-06F7642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DB0"/>
    <w:pPr>
      <w:spacing w:after="120" w:line="240" w:lineRule="auto"/>
    </w:pPr>
    <w:rPr>
      <w:rFonts w:ascii="Arial" w:eastAsia="Arial Unicode MS" w:hAnsi="Arial" w:cs="Times New Roman"/>
      <w:sz w:val="20"/>
      <w:szCs w:val="20"/>
      <w:lang w:val="en-US"/>
    </w:rPr>
  </w:style>
  <w:style w:type="paragraph" w:styleId="Heading4">
    <w:name w:val="heading 4"/>
    <w:basedOn w:val="Normal"/>
    <w:next w:val="Normal"/>
    <w:link w:val="Heading4Char"/>
    <w:qFormat/>
    <w:rsid w:val="007C0DB0"/>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0DB0"/>
    <w:rPr>
      <w:rFonts w:ascii="Arial" w:eastAsia="Arial Unicode MS" w:hAnsi="Arial" w:cs="Times New Roman"/>
      <w:b/>
      <w:bCs/>
      <w:color w:val="999999"/>
      <w:sz w:val="18"/>
      <w:szCs w:val="20"/>
      <w:lang w:val="en-US"/>
    </w:rPr>
  </w:style>
  <w:style w:type="paragraph" w:styleId="Header">
    <w:name w:val="header"/>
    <w:basedOn w:val="Normal"/>
    <w:link w:val="HeaderChar"/>
    <w:rsid w:val="007C0DB0"/>
    <w:pPr>
      <w:tabs>
        <w:tab w:val="center" w:pos="4320"/>
        <w:tab w:val="right" w:pos="8640"/>
      </w:tabs>
    </w:pPr>
  </w:style>
  <w:style w:type="character" w:customStyle="1" w:styleId="HeaderChar">
    <w:name w:val="Header Char"/>
    <w:basedOn w:val="DefaultParagraphFont"/>
    <w:link w:val="Header"/>
    <w:rsid w:val="007C0DB0"/>
    <w:rPr>
      <w:rFonts w:ascii="Arial" w:eastAsia="Arial Unicode MS" w:hAnsi="Arial" w:cs="Times New Roman"/>
      <w:sz w:val="20"/>
      <w:szCs w:val="20"/>
      <w:lang w:val="en-US"/>
    </w:rPr>
  </w:style>
  <w:style w:type="paragraph" w:styleId="Footer">
    <w:name w:val="footer"/>
    <w:basedOn w:val="Normal"/>
    <w:link w:val="FooterChar"/>
    <w:rsid w:val="007C0DB0"/>
    <w:pPr>
      <w:tabs>
        <w:tab w:val="center" w:pos="4320"/>
        <w:tab w:val="right" w:pos="8640"/>
      </w:tabs>
    </w:pPr>
  </w:style>
  <w:style w:type="character" w:customStyle="1" w:styleId="FooterChar">
    <w:name w:val="Footer Char"/>
    <w:basedOn w:val="DefaultParagraphFont"/>
    <w:link w:val="Footer"/>
    <w:rsid w:val="007C0DB0"/>
    <w:rPr>
      <w:rFonts w:ascii="Arial" w:eastAsia="Arial Unicode MS" w:hAnsi="Arial" w:cs="Times New Roman"/>
      <w:sz w:val="20"/>
      <w:szCs w:val="20"/>
      <w:lang w:val="en-US"/>
    </w:rPr>
  </w:style>
  <w:style w:type="character" w:styleId="Hyperlink">
    <w:name w:val="Hyperlink"/>
    <w:basedOn w:val="DefaultParagraphFont"/>
    <w:rsid w:val="007C0DB0"/>
    <w:rPr>
      <w:color w:val="0000FF"/>
      <w:u w:val="single"/>
    </w:rPr>
  </w:style>
  <w:style w:type="table" w:styleId="TableGrid">
    <w:name w:val="Table Grid"/>
    <w:basedOn w:val="TableNormal"/>
    <w:uiPriority w:val="59"/>
    <w:rsid w:val="007C0DB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B0"/>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7C0DB0"/>
    <w:pPr>
      <w:overflowPunct w:val="0"/>
      <w:autoSpaceDE w:val="0"/>
      <w:autoSpaceDN w:val="0"/>
      <w:adjustRightInd w:val="0"/>
      <w:spacing w:after="0"/>
      <w:ind w:right="144"/>
      <w:textAlignment w:val="baseline"/>
    </w:pPr>
    <w:rPr>
      <w:rFonts w:eastAsia="Times New Roman"/>
      <w:lang w:val="en-CA"/>
    </w:rPr>
  </w:style>
  <w:style w:type="character" w:customStyle="1" w:styleId="UnresolvedMention1">
    <w:name w:val="Unresolved Mention1"/>
    <w:basedOn w:val="DefaultParagraphFont"/>
    <w:uiPriority w:val="99"/>
    <w:semiHidden/>
    <w:unhideWhenUsed/>
    <w:rsid w:val="00197AB2"/>
    <w:rPr>
      <w:color w:val="605E5C"/>
      <w:shd w:val="clear" w:color="auto" w:fill="E1DFDD"/>
    </w:rPr>
  </w:style>
  <w:style w:type="character" w:styleId="FollowedHyperlink">
    <w:name w:val="FollowedHyperlink"/>
    <w:basedOn w:val="DefaultParagraphFont"/>
    <w:uiPriority w:val="99"/>
    <w:semiHidden/>
    <w:unhideWhenUsed/>
    <w:rsid w:val="00CD7200"/>
    <w:rPr>
      <w:color w:val="954F72" w:themeColor="followedHyperlink"/>
      <w:u w:val="single"/>
    </w:rPr>
  </w:style>
  <w:style w:type="character" w:customStyle="1" w:styleId="normaltextrun">
    <w:name w:val="normaltextrun"/>
    <w:basedOn w:val="DefaultParagraphFont"/>
    <w:rsid w:val="00FD21BD"/>
  </w:style>
  <w:style w:type="character" w:customStyle="1" w:styleId="eop">
    <w:name w:val="eop"/>
    <w:basedOn w:val="DefaultParagraphFont"/>
    <w:rsid w:val="00FD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79238">
      <w:bodyDiv w:val="1"/>
      <w:marLeft w:val="0"/>
      <w:marRight w:val="0"/>
      <w:marTop w:val="0"/>
      <w:marBottom w:val="0"/>
      <w:divBdr>
        <w:top w:val="none" w:sz="0" w:space="0" w:color="auto"/>
        <w:left w:val="none" w:sz="0" w:space="0" w:color="auto"/>
        <w:bottom w:val="none" w:sz="0" w:space="0" w:color="auto"/>
        <w:right w:val="none" w:sz="0" w:space="0" w:color="auto"/>
      </w:divBdr>
    </w:div>
    <w:div w:id="1616212838">
      <w:bodyDiv w:val="1"/>
      <w:marLeft w:val="0"/>
      <w:marRight w:val="0"/>
      <w:marTop w:val="0"/>
      <w:marBottom w:val="0"/>
      <w:divBdr>
        <w:top w:val="none" w:sz="0" w:space="0" w:color="auto"/>
        <w:left w:val="none" w:sz="0" w:space="0" w:color="auto"/>
        <w:bottom w:val="none" w:sz="0" w:space="0" w:color="auto"/>
        <w:right w:val="none" w:sz="0" w:space="0" w:color="auto"/>
      </w:divBdr>
    </w:div>
    <w:div w:id="2072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v-cv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s.gradasst@ubc.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fs.gradmgr@u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serc-crsng.gc.ca/students-etudiants/pg-cs/cgsm-bescm_eng.asp" TargetMode="External"/><Relationship Id="rId4" Type="http://schemas.openxmlformats.org/officeDocument/2006/relationships/webSettings" Target="webSettings.xml"/><Relationship Id="rId9" Type="http://schemas.openxmlformats.org/officeDocument/2006/relationships/hyperlink" Target="https://www.nserc-crsng.gc.ca/Students-Etudiants/PG-CS/CGSD-BESCD_eng.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Small</dc:creator>
  <cp:keywords/>
  <dc:description/>
  <cp:lastModifiedBy>Shelley Small</cp:lastModifiedBy>
  <cp:revision>2</cp:revision>
  <dcterms:created xsi:type="dcterms:W3CDTF">2022-04-22T17:25:00Z</dcterms:created>
  <dcterms:modified xsi:type="dcterms:W3CDTF">2022-04-22T17:25:00Z</dcterms:modified>
</cp:coreProperties>
</file>